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565" w:type="dxa"/>
        <w:tblLayout w:type="fixed"/>
        <w:tblLook w:val="0000" w:firstRow="0" w:lastRow="0" w:firstColumn="0" w:lastColumn="0" w:noHBand="0" w:noVBand="0"/>
      </w:tblPr>
      <w:tblGrid>
        <w:gridCol w:w="1370"/>
        <w:gridCol w:w="762"/>
        <w:gridCol w:w="6090"/>
        <w:gridCol w:w="1343"/>
      </w:tblGrid>
      <w:tr w:rsidR="00D41DBC" w14:paraId="03FD88E4" w14:textId="77777777" w:rsidTr="00E83F04">
        <w:trPr>
          <w:trHeight w:val="2021"/>
        </w:trPr>
        <w:tc>
          <w:tcPr>
            <w:tcW w:w="1370" w:type="dxa"/>
            <w:tcBorders>
              <w:top w:val="single" w:sz="4" w:space="0" w:color="auto"/>
              <w:bottom w:val="single" w:sz="4" w:space="0" w:color="auto"/>
            </w:tcBorders>
            <w:shd w:val="clear" w:color="auto" w:fill="auto"/>
          </w:tcPr>
          <w:p w14:paraId="655911DA" w14:textId="2A86E612" w:rsidR="00D41DBC" w:rsidRDefault="00B87452">
            <w:pPr>
              <w:pBdr>
                <w:top w:val="nil"/>
                <w:left w:val="nil"/>
                <w:bottom w:val="nil"/>
                <w:right w:val="nil"/>
                <w:between w:val="nil"/>
              </w:pBdr>
              <w:spacing w:line="276" w:lineRule="auto"/>
              <w:ind w:left="0" w:hanging="2"/>
              <w:rPr>
                <w:color w:val="000000"/>
                <w:szCs w:val="20"/>
              </w:rPr>
            </w:pPr>
            <w:r>
              <w:rPr>
                <w:noProof/>
              </w:rPr>
              <w:drawing>
                <wp:anchor distT="0" distB="0" distL="114300" distR="114300" simplePos="0" relativeHeight="251676672" behindDoc="1" locked="0" layoutInCell="1" allowOverlap="1" wp14:anchorId="2182514B" wp14:editId="075FFBF2">
                  <wp:simplePos x="0" y="0"/>
                  <wp:positionH relativeFrom="column">
                    <wp:posOffset>-15240</wp:posOffset>
                  </wp:positionH>
                  <wp:positionV relativeFrom="paragraph">
                    <wp:posOffset>174625</wp:posOffset>
                  </wp:positionV>
                  <wp:extent cx="762000" cy="762000"/>
                  <wp:effectExtent l="0" t="0" r="0" b="0"/>
                  <wp:wrapNone/>
                  <wp:docPr id="1713819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52" w:type="dxa"/>
            <w:gridSpan w:val="2"/>
            <w:tcBorders>
              <w:top w:val="single" w:sz="4" w:space="0" w:color="auto"/>
              <w:bottom w:val="single" w:sz="4" w:space="0" w:color="auto"/>
            </w:tcBorders>
            <w:shd w:val="clear" w:color="auto" w:fill="C6D9F1" w:themeFill="text2" w:themeFillTint="33"/>
          </w:tcPr>
          <w:p w14:paraId="250EBB67" w14:textId="77777777" w:rsidR="00D41DBC" w:rsidRDefault="00D41DBC">
            <w:pPr>
              <w:pBdr>
                <w:top w:val="nil"/>
                <w:left w:val="nil"/>
                <w:bottom w:val="nil"/>
                <w:right w:val="nil"/>
                <w:between w:val="nil"/>
              </w:pBdr>
              <w:spacing w:line="240" w:lineRule="auto"/>
              <w:rPr>
                <w:color w:val="000000"/>
                <w:sz w:val="8"/>
                <w:szCs w:val="8"/>
              </w:rPr>
            </w:pPr>
          </w:p>
          <w:p w14:paraId="413824C7" w14:textId="0E3D8979" w:rsidR="00D41DBC" w:rsidRDefault="002A459C" w:rsidP="00B96C5C">
            <w:pPr>
              <w:pBdr>
                <w:top w:val="nil"/>
                <w:left w:val="nil"/>
                <w:bottom w:val="nil"/>
                <w:right w:val="nil"/>
                <w:between w:val="nil"/>
              </w:pBdr>
              <w:shd w:val="clear" w:color="auto" w:fill="C6D9F1" w:themeFill="text2" w:themeFillTint="33"/>
              <w:spacing w:line="240" w:lineRule="auto"/>
              <w:ind w:left="0" w:hanging="2"/>
              <w:rPr>
                <w:color w:val="000000"/>
                <w:sz w:val="18"/>
                <w:szCs w:val="18"/>
              </w:rPr>
            </w:pPr>
            <w:proofErr w:type="spellStart"/>
            <w:r>
              <w:rPr>
                <w:color w:val="000000"/>
                <w:sz w:val="18"/>
                <w:szCs w:val="18"/>
              </w:rPr>
              <w:t>Maksimum</w:t>
            </w:r>
            <w:proofErr w:type="spellEnd"/>
            <w:r>
              <w:rPr>
                <w:color w:val="000000"/>
                <w:sz w:val="18"/>
                <w:szCs w:val="18"/>
              </w:rPr>
              <w:t xml:space="preserve">: Media </w:t>
            </w:r>
            <w:proofErr w:type="spellStart"/>
            <w:r>
              <w:rPr>
                <w:color w:val="000000"/>
                <w:sz w:val="18"/>
                <w:szCs w:val="18"/>
              </w:rPr>
              <w:t>Akuntansi</w:t>
            </w:r>
            <w:proofErr w:type="spellEnd"/>
            <w:r>
              <w:rPr>
                <w:color w:val="000000"/>
                <w:sz w:val="18"/>
                <w:szCs w:val="18"/>
              </w:rPr>
              <w:t xml:space="preserve"> Universitas Muhammadiyah Sema</w:t>
            </w:r>
            <w:r w:rsidR="00B96C5C">
              <w:rPr>
                <w:color w:val="000000"/>
                <w:sz w:val="18"/>
                <w:szCs w:val="18"/>
              </w:rPr>
              <w:t>rang</w:t>
            </w:r>
            <w:r>
              <w:rPr>
                <w:color w:val="000000"/>
                <w:sz w:val="18"/>
                <w:szCs w:val="18"/>
              </w:rPr>
              <w:t>, Vol</w:t>
            </w:r>
            <w:r w:rsidR="004F3A48">
              <w:rPr>
                <w:color w:val="000000"/>
                <w:sz w:val="18"/>
                <w:szCs w:val="18"/>
              </w:rPr>
              <w:t xml:space="preserve"> 13</w:t>
            </w:r>
            <w:r>
              <w:rPr>
                <w:color w:val="000000"/>
                <w:sz w:val="18"/>
                <w:szCs w:val="18"/>
              </w:rPr>
              <w:t xml:space="preserve"> (No</w:t>
            </w:r>
            <w:r w:rsidR="004F3A48">
              <w:rPr>
                <w:color w:val="000000"/>
                <w:sz w:val="18"/>
                <w:szCs w:val="18"/>
              </w:rPr>
              <w:t>.2</w:t>
            </w:r>
            <w:r>
              <w:rPr>
                <w:color w:val="000000"/>
                <w:sz w:val="18"/>
                <w:szCs w:val="18"/>
              </w:rPr>
              <w:t>) 2</w:t>
            </w:r>
            <w:r w:rsidR="00B96C5C">
              <w:rPr>
                <w:color w:val="000000"/>
                <w:sz w:val="18"/>
                <w:szCs w:val="18"/>
              </w:rPr>
              <w:t>023</w:t>
            </w:r>
            <w:r>
              <w:rPr>
                <w:color w:val="000000"/>
                <w:sz w:val="18"/>
                <w:szCs w:val="18"/>
              </w:rPr>
              <w:t xml:space="preserve">, </w:t>
            </w:r>
            <w:r w:rsidR="00ED6A44">
              <w:rPr>
                <w:color w:val="000000"/>
                <w:sz w:val="18"/>
                <w:szCs w:val="18"/>
              </w:rPr>
              <w:t>218</w:t>
            </w:r>
            <w:r>
              <w:rPr>
                <w:color w:val="000000"/>
                <w:sz w:val="18"/>
                <w:szCs w:val="18"/>
              </w:rPr>
              <w:t>-</w:t>
            </w:r>
            <w:r w:rsidR="003308BB">
              <w:rPr>
                <w:color w:val="000000"/>
                <w:sz w:val="18"/>
                <w:szCs w:val="18"/>
              </w:rPr>
              <w:t>2</w:t>
            </w:r>
            <w:r w:rsidR="001F3F44">
              <w:rPr>
                <w:color w:val="000000"/>
                <w:sz w:val="18"/>
                <w:szCs w:val="18"/>
              </w:rPr>
              <w:t>28</w:t>
            </w:r>
          </w:p>
          <w:p w14:paraId="21E7AF46" w14:textId="77777777" w:rsidR="00D41DBC" w:rsidRDefault="00D41DBC" w:rsidP="00B96C5C">
            <w:pPr>
              <w:pBdr>
                <w:top w:val="nil"/>
                <w:left w:val="nil"/>
                <w:bottom w:val="nil"/>
                <w:right w:val="nil"/>
                <w:between w:val="nil"/>
              </w:pBdr>
              <w:shd w:val="clear" w:color="auto" w:fill="C6D9F1" w:themeFill="text2" w:themeFillTint="33"/>
              <w:spacing w:line="240" w:lineRule="auto"/>
              <w:ind w:left="0" w:hanging="2"/>
              <w:rPr>
                <w:color w:val="000000"/>
                <w:sz w:val="22"/>
              </w:rPr>
            </w:pPr>
          </w:p>
          <w:p w14:paraId="503BE71F" w14:textId="262D352F" w:rsidR="00D41DBC" w:rsidRDefault="00B96C5C" w:rsidP="00B96C5C">
            <w:pPr>
              <w:pBdr>
                <w:top w:val="nil"/>
                <w:left w:val="nil"/>
                <w:bottom w:val="nil"/>
                <w:right w:val="nil"/>
                <w:between w:val="nil"/>
              </w:pBdr>
              <w:shd w:val="clear" w:color="auto" w:fill="C6D9F1" w:themeFill="text2" w:themeFillTint="33"/>
              <w:spacing w:line="240" w:lineRule="auto"/>
              <w:ind w:left="0" w:hanging="2"/>
              <w:rPr>
                <w:color w:val="000000"/>
                <w:sz w:val="16"/>
                <w:szCs w:val="16"/>
              </w:rPr>
            </w:pPr>
            <w:r w:rsidRPr="00B96C5C">
              <w:t>https://jurnal.unimus.ac.id/index.php/MAX</w:t>
            </w:r>
            <w:r>
              <w:rPr>
                <w:color w:val="000000"/>
                <w:sz w:val="18"/>
                <w:szCs w:val="18"/>
              </w:rPr>
              <w:t xml:space="preserve"> </w:t>
            </w:r>
          </w:p>
          <w:p w14:paraId="251E702C" w14:textId="77777777" w:rsidR="00D41DBC" w:rsidRDefault="00D41DBC" w:rsidP="00B96C5C">
            <w:pPr>
              <w:pBdr>
                <w:top w:val="nil"/>
                <w:left w:val="nil"/>
                <w:bottom w:val="nil"/>
                <w:right w:val="nil"/>
                <w:between w:val="nil"/>
              </w:pBdr>
              <w:shd w:val="clear" w:color="auto" w:fill="C6D9F1" w:themeFill="text2" w:themeFillTint="33"/>
              <w:spacing w:line="240" w:lineRule="auto"/>
              <w:ind w:left="0" w:hanging="2"/>
              <w:rPr>
                <w:color w:val="000000"/>
                <w:sz w:val="22"/>
              </w:rPr>
            </w:pPr>
          </w:p>
          <w:p w14:paraId="1BC20EA5" w14:textId="2DD8FCB1" w:rsidR="00D41DBC" w:rsidRDefault="006334E5" w:rsidP="00B96C5C">
            <w:pPr>
              <w:pBdr>
                <w:top w:val="nil"/>
                <w:left w:val="nil"/>
                <w:bottom w:val="nil"/>
                <w:right w:val="nil"/>
                <w:between w:val="nil"/>
              </w:pBdr>
              <w:shd w:val="clear" w:color="auto" w:fill="C6D9F1" w:themeFill="text2" w:themeFillTint="33"/>
              <w:spacing w:line="240" w:lineRule="auto"/>
              <w:ind w:left="0" w:hanging="2"/>
              <w:rPr>
                <w:color w:val="000000"/>
                <w:sz w:val="18"/>
                <w:szCs w:val="18"/>
              </w:rPr>
            </w:pPr>
            <w:r>
              <w:rPr>
                <w:color w:val="000000"/>
                <w:sz w:val="18"/>
                <w:szCs w:val="18"/>
              </w:rPr>
              <w:t xml:space="preserve">Nationally Accredited based on the Decree of the Minister of Research, Technology and Higher Education, Number </w:t>
            </w:r>
            <w:r w:rsidR="00B87452" w:rsidRPr="00B87452">
              <w:rPr>
                <w:color w:val="000000"/>
                <w:sz w:val="18"/>
                <w:szCs w:val="18"/>
              </w:rPr>
              <w:t>1429/E5.3/HM.01.01/2022</w:t>
            </w:r>
          </w:p>
          <w:p w14:paraId="7EB88E6E" w14:textId="77777777" w:rsidR="00D41DBC" w:rsidRDefault="00D41DBC">
            <w:pPr>
              <w:spacing w:line="288" w:lineRule="auto"/>
              <w:rPr>
                <w:color w:val="000000"/>
                <w:sz w:val="10"/>
                <w:szCs w:val="10"/>
              </w:rPr>
            </w:pPr>
          </w:p>
        </w:tc>
        <w:tc>
          <w:tcPr>
            <w:tcW w:w="1343" w:type="dxa"/>
            <w:tcBorders>
              <w:top w:val="single" w:sz="4" w:space="0" w:color="auto"/>
              <w:bottom w:val="single" w:sz="4" w:space="0" w:color="auto"/>
            </w:tcBorders>
          </w:tcPr>
          <w:p w14:paraId="093CFE89" w14:textId="393DEED9" w:rsidR="00D41DBC" w:rsidRDefault="00B87452">
            <w:pPr>
              <w:pBdr>
                <w:top w:val="nil"/>
                <w:left w:val="nil"/>
                <w:bottom w:val="nil"/>
                <w:right w:val="nil"/>
                <w:between w:val="nil"/>
              </w:pBdr>
              <w:spacing w:line="276" w:lineRule="auto"/>
              <w:ind w:left="0" w:hanging="2"/>
              <w:rPr>
                <w:color w:val="000000"/>
                <w:sz w:val="18"/>
                <w:szCs w:val="18"/>
              </w:rPr>
            </w:pPr>
            <w:r>
              <w:rPr>
                <w:noProof/>
              </w:rPr>
              <w:drawing>
                <wp:anchor distT="0" distB="0" distL="114300" distR="114300" simplePos="0" relativeHeight="251677696" behindDoc="1" locked="0" layoutInCell="1" allowOverlap="1" wp14:anchorId="6A02DDA7" wp14:editId="61AFF2B3">
                  <wp:simplePos x="0" y="0"/>
                  <wp:positionH relativeFrom="column">
                    <wp:posOffset>-37465</wp:posOffset>
                  </wp:positionH>
                  <wp:positionV relativeFrom="paragraph">
                    <wp:posOffset>50800</wp:posOffset>
                  </wp:positionV>
                  <wp:extent cx="723900" cy="1023845"/>
                  <wp:effectExtent l="0" t="0" r="0" b="5080"/>
                  <wp:wrapNone/>
                  <wp:docPr id="1938494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1023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1DBC" w14:paraId="62B66515" w14:textId="77777777" w:rsidTr="00503AD6">
        <w:trPr>
          <w:trHeight w:val="2362"/>
        </w:trPr>
        <w:tc>
          <w:tcPr>
            <w:tcW w:w="9565" w:type="dxa"/>
            <w:gridSpan w:val="4"/>
            <w:tcBorders>
              <w:top w:val="single" w:sz="4" w:space="0" w:color="auto"/>
              <w:bottom w:val="single" w:sz="4" w:space="0" w:color="auto"/>
            </w:tcBorders>
          </w:tcPr>
          <w:p w14:paraId="3079525E" w14:textId="77777777" w:rsidR="00D41DBC" w:rsidRDefault="00D41DBC">
            <w:pPr>
              <w:pBdr>
                <w:top w:val="nil"/>
                <w:left w:val="nil"/>
                <w:bottom w:val="nil"/>
                <w:right w:val="nil"/>
                <w:between w:val="nil"/>
              </w:pBdr>
              <w:spacing w:line="276" w:lineRule="auto"/>
              <w:ind w:left="0" w:hanging="2"/>
              <w:jc w:val="left"/>
              <w:rPr>
                <w:b/>
                <w:color w:val="000000"/>
                <w:szCs w:val="20"/>
              </w:rPr>
            </w:pPr>
          </w:p>
          <w:p w14:paraId="426EEE83" w14:textId="1138C268" w:rsidR="00D41DBC" w:rsidRDefault="00ED6A44">
            <w:pPr>
              <w:ind w:left="1" w:hanging="3"/>
              <w:jc w:val="left"/>
              <w:rPr>
                <w:rFonts w:ascii="Calibri" w:hAnsi="Calibri" w:cs="Calibri"/>
                <w:b/>
                <w:color w:val="000000"/>
                <w:sz w:val="28"/>
                <w:szCs w:val="28"/>
              </w:rPr>
            </w:pPr>
            <w:r w:rsidRPr="00ED6A44">
              <w:rPr>
                <w:rFonts w:ascii="Calibri" w:hAnsi="Calibri" w:cs="Calibri"/>
                <w:b/>
                <w:color w:val="000000"/>
                <w:sz w:val="28"/>
                <w:szCs w:val="28"/>
              </w:rPr>
              <w:t>Financial Statement Fraud and the Fraud Pentagon Theory: Evidence from Indonesia’s Public Sector</w:t>
            </w:r>
          </w:p>
          <w:p w14:paraId="6E0DEF79" w14:textId="77777777" w:rsidR="00004EFC" w:rsidRPr="00300557" w:rsidRDefault="00004EFC">
            <w:pPr>
              <w:ind w:left="0" w:hanging="2"/>
              <w:jc w:val="left"/>
              <w:rPr>
                <w:rFonts w:ascii="Calibri" w:hAnsi="Calibri" w:cs="Calibri"/>
                <w:color w:val="000000"/>
                <w:sz w:val="24"/>
                <w:szCs w:val="24"/>
              </w:rPr>
            </w:pPr>
          </w:p>
          <w:p w14:paraId="7BB2EC66" w14:textId="30955AF0" w:rsidR="005B7CD4" w:rsidRDefault="00ED6A44">
            <w:pPr>
              <w:ind w:left="0" w:hanging="2"/>
              <w:jc w:val="left"/>
              <w:rPr>
                <w:rFonts w:ascii="Calibri" w:hAnsi="Calibri" w:cs="Calibri"/>
                <w:b/>
                <w:color w:val="000000"/>
                <w:sz w:val="22"/>
              </w:rPr>
            </w:pPr>
            <w:r w:rsidRPr="00ED6A44">
              <w:rPr>
                <w:rFonts w:ascii="Calibri" w:hAnsi="Calibri" w:cs="Calibri"/>
                <w:b/>
                <w:color w:val="000000"/>
                <w:sz w:val="22"/>
              </w:rPr>
              <w:t xml:space="preserve">Elsa </w:t>
            </w:r>
            <w:proofErr w:type="spellStart"/>
            <w:r w:rsidRPr="00ED6A44">
              <w:rPr>
                <w:rFonts w:ascii="Calibri" w:hAnsi="Calibri" w:cs="Calibri"/>
                <w:b/>
                <w:color w:val="000000"/>
                <w:sz w:val="22"/>
              </w:rPr>
              <w:t>Nuzula</w:t>
            </w:r>
            <w:proofErr w:type="spellEnd"/>
            <w:r w:rsidRPr="00ED6A44">
              <w:rPr>
                <w:rFonts w:ascii="Calibri" w:hAnsi="Calibri" w:cs="Calibri"/>
                <w:b/>
                <w:color w:val="000000"/>
                <w:sz w:val="22"/>
              </w:rPr>
              <w:t xml:space="preserve"> Rahma</w:t>
            </w:r>
            <w:r w:rsidRPr="00ED6A44">
              <w:rPr>
                <w:rFonts w:ascii="Calibri" w:hAnsi="Calibri" w:cs="Calibri"/>
                <w:b/>
                <w:color w:val="000000"/>
                <w:sz w:val="22"/>
                <w:vertAlign w:val="superscript"/>
              </w:rPr>
              <w:t>1</w:t>
            </w:r>
            <w:r>
              <w:rPr>
                <w:rFonts w:ascii="Calibri" w:hAnsi="Calibri" w:cs="Calibri"/>
                <w:b/>
                <w:color w:val="000000"/>
                <w:sz w:val="22"/>
              </w:rPr>
              <w:t>*</w:t>
            </w:r>
            <w:r w:rsidRPr="00ED6A44">
              <w:rPr>
                <w:rFonts w:ascii="Calibri" w:hAnsi="Calibri" w:cs="Calibri"/>
                <w:b/>
                <w:color w:val="000000"/>
                <w:sz w:val="22"/>
              </w:rPr>
              <w:t xml:space="preserve">, </w:t>
            </w:r>
            <w:hyperlink r:id="rId11" w:history="1">
              <w:r w:rsidRPr="001F3F44">
                <w:rPr>
                  <w:rStyle w:val="Hyperlink"/>
                  <w:rFonts w:ascii="Calibri" w:hAnsi="Calibri" w:cs="Calibri"/>
                  <w:b/>
                  <w:sz w:val="22"/>
                  <w:u w:val="none"/>
                </w:rPr>
                <w:t>Nurcahyono Nurcahyono</w:t>
              </w:r>
            </w:hyperlink>
            <w:r w:rsidRPr="001F3F44">
              <w:rPr>
                <w:rFonts w:ascii="Calibri" w:hAnsi="Calibri" w:cs="Calibri"/>
                <w:b/>
                <w:color w:val="000000"/>
                <w:sz w:val="22"/>
                <w:vertAlign w:val="superscript"/>
              </w:rPr>
              <w:t>2</w:t>
            </w:r>
          </w:p>
          <w:p w14:paraId="1D6065C4" w14:textId="77777777" w:rsidR="00ED6A44" w:rsidRPr="00300557" w:rsidRDefault="00ED6A44">
            <w:pPr>
              <w:ind w:left="0" w:hanging="2"/>
              <w:jc w:val="left"/>
              <w:rPr>
                <w:rFonts w:ascii="Calibri" w:hAnsi="Calibri" w:cs="Calibri"/>
                <w:color w:val="000000"/>
                <w:sz w:val="18"/>
                <w:szCs w:val="20"/>
              </w:rPr>
            </w:pPr>
          </w:p>
          <w:p w14:paraId="61B67AE4" w14:textId="21264DBA" w:rsidR="00CC1A5D" w:rsidRPr="00004EFC" w:rsidRDefault="00CC1A5D" w:rsidP="00CC1A5D">
            <w:pPr>
              <w:ind w:left="0" w:hanging="2"/>
              <w:jc w:val="left"/>
              <w:rPr>
                <w:rFonts w:ascii="Calibri" w:hAnsi="Calibri" w:cs="Calibri"/>
                <w:iCs/>
                <w:color w:val="000000"/>
                <w:sz w:val="22"/>
              </w:rPr>
            </w:pPr>
            <w:r w:rsidRPr="00004EFC">
              <w:rPr>
                <w:rFonts w:ascii="Calibri" w:hAnsi="Calibri" w:cs="Calibri"/>
                <w:iCs/>
                <w:color w:val="000000"/>
                <w:sz w:val="22"/>
                <w:vertAlign w:val="superscript"/>
              </w:rPr>
              <w:t>1</w:t>
            </w:r>
            <w:r w:rsidR="00ED6A44">
              <w:rPr>
                <w:rFonts w:ascii="Calibri" w:hAnsi="Calibri" w:cs="Calibri"/>
                <w:iCs/>
                <w:color w:val="000000"/>
                <w:sz w:val="22"/>
                <w:vertAlign w:val="superscript"/>
              </w:rPr>
              <w:t xml:space="preserve">,2 </w:t>
            </w:r>
            <w:r w:rsidRPr="00004EFC">
              <w:rPr>
                <w:rFonts w:ascii="Calibri" w:hAnsi="Calibri" w:cs="Calibri"/>
                <w:iCs/>
                <w:color w:val="000000"/>
                <w:sz w:val="22"/>
              </w:rPr>
              <w:t>Department of Accounting, Universitas Muhammadiyah Semarang, Indonesia</w:t>
            </w:r>
          </w:p>
          <w:p w14:paraId="2C7E3221" w14:textId="70011425" w:rsidR="00BA76AF" w:rsidRPr="00004EFC" w:rsidRDefault="00BA76AF" w:rsidP="00CC1A5D">
            <w:pPr>
              <w:ind w:left="0" w:hanging="2"/>
              <w:jc w:val="left"/>
              <w:rPr>
                <w:rFonts w:ascii="Calibri" w:hAnsi="Calibri" w:cs="Calibri"/>
                <w:color w:val="000000"/>
                <w:sz w:val="22"/>
              </w:rPr>
            </w:pPr>
            <w:r w:rsidRPr="00004EFC">
              <w:rPr>
                <w:rFonts w:ascii="Calibri" w:hAnsi="Calibri" w:cs="Calibri"/>
                <w:color w:val="000000"/>
                <w:sz w:val="22"/>
              </w:rPr>
              <w:t>*Corresponding Author</w:t>
            </w:r>
          </w:p>
          <w:p w14:paraId="733210AB" w14:textId="3921C0EB" w:rsidR="002D74F3" w:rsidRPr="002D74F3" w:rsidRDefault="002D74F3" w:rsidP="002D74F3">
            <w:pPr>
              <w:tabs>
                <w:tab w:val="left" w:pos="2187"/>
                <w:tab w:val="center" w:pos="4673"/>
              </w:tabs>
              <w:ind w:left="0" w:hanging="2"/>
              <w:jc w:val="left"/>
              <w:rPr>
                <w:rFonts w:ascii="Calibri" w:hAnsi="Calibri" w:cs="Calibri"/>
                <w:sz w:val="22"/>
              </w:rPr>
            </w:pPr>
            <w:r>
              <w:rPr>
                <w:rFonts w:ascii="Calibri" w:hAnsi="Calibri" w:cs="Calibri"/>
                <w:sz w:val="22"/>
              </w:rPr>
              <w:tab/>
            </w:r>
            <w:r>
              <w:rPr>
                <w:rFonts w:ascii="Calibri" w:hAnsi="Calibri" w:cs="Calibri"/>
                <w:sz w:val="22"/>
              </w:rPr>
              <w:tab/>
            </w:r>
          </w:p>
        </w:tc>
      </w:tr>
      <w:tr w:rsidR="00D41DBC" w14:paraId="46F63723" w14:textId="77777777" w:rsidTr="00503AD6">
        <w:trPr>
          <w:trHeight w:val="4459"/>
        </w:trPr>
        <w:tc>
          <w:tcPr>
            <w:tcW w:w="2132" w:type="dxa"/>
            <w:gridSpan w:val="2"/>
            <w:tcBorders>
              <w:top w:val="single" w:sz="4" w:space="0" w:color="auto"/>
              <w:bottom w:val="single" w:sz="4" w:space="0" w:color="auto"/>
            </w:tcBorders>
          </w:tcPr>
          <w:p w14:paraId="0A50C54D" w14:textId="77777777" w:rsidR="00D41DBC" w:rsidRPr="00300557" w:rsidRDefault="006334E5">
            <w:pPr>
              <w:pBdr>
                <w:top w:val="nil"/>
                <w:left w:val="nil"/>
                <w:bottom w:val="nil"/>
                <w:right w:val="nil"/>
                <w:between w:val="nil"/>
              </w:pBdr>
              <w:spacing w:before="120" w:line="240" w:lineRule="auto"/>
              <w:ind w:left="0" w:hanging="2"/>
              <w:jc w:val="left"/>
              <w:rPr>
                <w:rFonts w:ascii="Calibri" w:hAnsi="Calibri" w:cs="Calibri"/>
                <w:color w:val="000000"/>
                <w:sz w:val="18"/>
                <w:szCs w:val="18"/>
              </w:rPr>
            </w:pPr>
            <w:r w:rsidRPr="00300557">
              <w:rPr>
                <w:rFonts w:ascii="Calibri" w:hAnsi="Calibri" w:cs="Calibri"/>
                <w:b/>
                <w:color w:val="000000"/>
                <w:szCs w:val="20"/>
              </w:rPr>
              <w:t>Info Article</w:t>
            </w:r>
          </w:p>
          <w:p w14:paraId="57ADD950" w14:textId="77777777" w:rsidR="00D41DBC" w:rsidRPr="00300557" w:rsidRDefault="006334E5">
            <w:pPr>
              <w:pBdr>
                <w:top w:val="nil"/>
                <w:left w:val="nil"/>
                <w:bottom w:val="nil"/>
                <w:right w:val="nil"/>
                <w:between w:val="nil"/>
              </w:pBdr>
              <w:spacing w:line="240" w:lineRule="auto"/>
              <w:ind w:left="0" w:hanging="2"/>
              <w:jc w:val="left"/>
              <w:rPr>
                <w:rFonts w:ascii="Calibri" w:hAnsi="Calibri" w:cs="Calibri"/>
                <w:color w:val="000000"/>
                <w:szCs w:val="20"/>
              </w:rPr>
            </w:pPr>
            <w:r w:rsidRPr="00300557">
              <w:rPr>
                <w:rFonts w:ascii="Calibri" w:hAnsi="Calibri" w:cs="Calibri"/>
                <w:color w:val="000000"/>
                <w:szCs w:val="20"/>
              </w:rPr>
              <w:t>_______________</w:t>
            </w:r>
          </w:p>
          <w:p w14:paraId="4376B0B2" w14:textId="77777777" w:rsidR="00D41DBC" w:rsidRPr="00300557" w:rsidRDefault="006334E5">
            <w:pPr>
              <w:pBdr>
                <w:top w:val="nil"/>
                <w:left w:val="nil"/>
                <w:bottom w:val="nil"/>
                <w:right w:val="nil"/>
                <w:between w:val="nil"/>
              </w:pBdr>
              <w:spacing w:line="276" w:lineRule="auto"/>
              <w:ind w:left="0" w:hanging="2"/>
              <w:jc w:val="left"/>
              <w:rPr>
                <w:rFonts w:ascii="Calibri" w:hAnsi="Calibri" w:cs="Calibri"/>
                <w:color w:val="000000"/>
                <w:sz w:val="16"/>
                <w:szCs w:val="16"/>
              </w:rPr>
            </w:pPr>
            <w:r w:rsidRPr="00300557">
              <w:rPr>
                <w:rFonts w:ascii="Calibri" w:hAnsi="Calibri" w:cs="Calibri"/>
                <w:i/>
                <w:color w:val="000000"/>
                <w:sz w:val="16"/>
                <w:szCs w:val="16"/>
              </w:rPr>
              <w:t>History Article:</w:t>
            </w:r>
          </w:p>
          <w:p w14:paraId="26019C19" w14:textId="4C7FE25C" w:rsidR="002D74F3" w:rsidRDefault="002D74F3" w:rsidP="002D74F3">
            <w:pPr>
              <w:spacing w:line="288" w:lineRule="auto"/>
              <w:ind w:leftChars="0" w:left="2" w:hanging="2"/>
              <w:jc w:val="left"/>
              <w:rPr>
                <w:rFonts w:ascii="Calibri" w:hAnsi="Calibri" w:cs="Calibri"/>
                <w:sz w:val="16"/>
                <w:szCs w:val="16"/>
              </w:rPr>
            </w:pPr>
            <w:r>
              <w:rPr>
                <w:rFonts w:ascii="Calibri" w:hAnsi="Calibri" w:cs="Calibri"/>
                <w:sz w:val="16"/>
                <w:szCs w:val="16"/>
              </w:rPr>
              <w:t xml:space="preserve">Submitted: </w:t>
            </w:r>
            <w:r w:rsidR="008516CE">
              <w:rPr>
                <w:rFonts w:ascii="Calibri" w:hAnsi="Calibri" w:cs="Calibri"/>
                <w:sz w:val="16"/>
                <w:szCs w:val="16"/>
              </w:rPr>
              <w:t>March 25, 2023</w:t>
            </w:r>
          </w:p>
          <w:p w14:paraId="26CE2E5F" w14:textId="39E2F130" w:rsidR="002D74F3" w:rsidRDefault="002D74F3" w:rsidP="002D74F3">
            <w:pPr>
              <w:spacing w:line="288" w:lineRule="auto"/>
              <w:ind w:leftChars="0" w:left="2" w:hanging="2"/>
              <w:jc w:val="left"/>
              <w:rPr>
                <w:rFonts w:ascii="Calibri" w:hAnsi="Calibri" w:cs="Calibri"/>
                <w:sz w:val="16"/>
                <w:szCs w:val="16"/>
              </w:rPr>
            </w:pPr>
            <w:r>
              <w:rPr>
                <w:rFonts w:ascii="Calibri" w:hAnsi="Calibri" w:cs="Calibri"/>
                <w:sz w:val="16"/>
                <w:szCs w:val="16"/>
              </w:rPr>
              <w:t xml:space="preserve">Revised: </w:t>
            </w:r>
            <w:r w:rsidR="008516CE">
              <w:rPr>
                <w:rFonts w:ascii="Calibri" w:hAnsi="Calibri" w:cs="Calibri"/>
                <w:sz w:val="16"/>
                <w:szCs w:val="16"/>
              </w:rPr>
              <w:t>May 10, 2023</w:t>
            </w:r>
          </w:p>
          <w:p w14:paraId="4ED5AA55" w14:textId="2806D5BD" w:rsidR="002D74F3" w:rsidRDefault="002D74F3" w:rsidP="002D74F3">
            <w:pPr>
              <w:spacing w:line="288" w:lineRule="auto"/>
              <w:ind w:leftChars="0" w:left="2" w:hanging="2"/>
              <w:jc w:val="left"/>
              <w:rPr>
                <w:rFonts w:ascii="Calibri" w:hAnsi="Calibri" w:cs="Calibri"/>
                <w:sz w:val="16"/>
                <w:szCs w:val="16"/>
              </w:rPr>
            </w:pPr>
            <w:r>
              <w:rPr>
                <w:rFonts w:ascii="Calibri" w:hAnsi="Calibri" w:cs="Calibri"/>
                <w:sz w:val="16"/>
                <w:szCs w:val="16"/>
              </w:rPr>
              <w:t xml:space="preserve">Accepted: </w:t>
            </w:r>
            <w:r w:rsidR="008516CE">
              <w:rPr>
                <w:rFonts w:ascii="Calibri" w:hAnsi="Calibri" w:cs="Calibri"/>
                <w:sz w:val="16"/>
                <w:szCs w:val="16"/>
              </w:rPr>
              <w:t>May 20, 2023</w:t>
            </w:r>
          </w:p>
          <w:p w14:paraId="33F66EE8" w14:textId="77777777" w:rsidR="00D41DBC" w:rsidRPr="00300557" w:rsidRDefault="006334E5">
            <w:pPr>
              <w:pBdr>
                <w:top w:val="nil"/>
                <w:left w:val="nil"/>
                <w:bottom w:val="nil"/>
                <w:right w:val="nil"/>
                <w:between w:val="nil"/>
              </w:pBdr>
              <w:spacing w:line="276" w:lineRule="auto"/>
              <w:ind w:left="0" w:hanging="2"/>
              <w:jc w:val="left"/>
              <w:rPr>
                <w:rFonts w:ascii="Calibri" w:hAnsi="Calibri" w:cs="Calibri"/>
                <w:color w:val="000000"/>
                <w:szCs w:val="20"/>
              </w:rPr>
            </w:pPr>
            <w:r w:rsidRPr="00300557">
              <w:rPr>
                <w:rFonts w:ascii="Calibri" w:hAnsi="Calibri" w:cs="Calibri"/>
                <w:color w:val="000000"/>
                <w:szCs w:val="20"/>
              </w:rPr>
              <w:t>_______________</w:t>
            </w:r>
          </w:p>
          <w:p w14:paraId="100977E0" w14:textId="77777777" w:rsidR="00D41DBC" w:rsidRPr="00300557" w:rsidRDefault="006334E5">
            <w:pPr>
              <w:pBdr>
                <w:top w:val="nil"/>
                <w:left w:val="nil"/>
                <w:bottom w:val="nil"/>
                <w:right w:val="nil"/>
                <w:between w:val="nil"/>
              </w:pBdr>
              <w:spacing w:line="276" w:lineRule="auto"/>
              <w:ind w:left="0" w:hanging="2"/>
              <w:jc w:val="left"/>
              <w:rPr>
                <w:rFonts w:ascii="Calibri" w:hAnsi="Calibri" w:cs="Calibri"/>
                <w:color w:val="000000"/>
                <w:sz w:val="16"/>
                <w:szCs w:val="16"/>
              </w:rPr>
            </w:pPr>
            <w:r w:rsidRPr="00300557">
              <w:rPr>
                <w:rFonts w:ascii="Calibri" w:hAnsi="Calibri" w:cs="Calibri"/>
                <w:i/>
                <w:color w:val="000000"/>
                <w:sz w:val="16"/>
                <w:szCs w:val="16"/>
              </w:rPr>
              <w:t>Keywords:</w:t>
            </w:r>
          </w:p>
          <w:p w14:paraId="3823CB6F" w14:textId="5824F35C" w:rsidR="00D41DBC" w:rsidRPr="00300557" w:rsidRDefault="00ED6A44">
            <w:pPr>
              <w:pBdr>
                <w:top w:val="nil"/>
                <w:left w:val="nil"/>
                <w:bottom w:val="nil"/>
                <w:right w:val="nil"/>
                <w:between w:val="nil"/>
              </w:pBdr>
              <w:spacing w:line="276" w:lineRule="auto"/>
              <w:ind w:left="0" w:hanging="2"/>
              <w:jc w:val="left"/>
              <w:rPr>
                <w:rFonts w:ascii="Calibri" w:hAnsi="Calibri" w:cs="Calibri"/>
                <w:color w:val="000000"/>
                <w:sz w:val="16"/>
                <w:szCs w:val="16"/>
              </w:rPr>
            </w:pPr>
            <w:r w:rsidRPr="00ED6A44">
              <w:rPr>
                <w:rFonts w:ascii="Calibri" w:hAnsi="Calibri" w:cs="Calibri"/>
                <w:i/>
                <w:color w:val="000000"/>
                <w:sz w:val="16"/>
                <w:szCs w:val="16"/>
              </w:rPr>
              <w:t xml:space="preserve">Fraud financial statement, pentagon fraud theory, SOEs company </w:t>
            </w:r>
            <w:r w:rsidR="006334E5" w:rsidRPr="00300557">
              <w:rPr>
                <w:rFonts w:ascii="Calibri" w:hAnsi="Calibri" w:cs="Calibri"/>
                <w:color w:val="000000"/>
                <w:sz w:val="16"/>
                <w:szCs w:val="16"/>
              </w:rPr>
              <w:t>___________________</w:t>
            </w:r>
          </w:p>
        </w:tc>
        <w:tc>
          <w:tcPr>
            <w:tcW w:w="7433" w:type="dxa"/>
            <w:gridSpan w:val="2"/>
            <w:tcBorders>
              <w:top w:val="single" w:sz="4" w:space="0" w:color="auto"/>
              <w:bottom w:val="single" w:sz="4" w:space="0" w:color="auto"/>
            </w:tcBorders>
          </w:tcPr>
          <w:p w14:paraId="50403BC3" w14:textId="7F1FFF61" w:rsidR="00D41DBC" w:rsidRPr="00300557" w:rsidRDefault="006334E5">
            <w:pPr>
              <w:pBdr>
                <w:top w:val="nil"/>
                <w:left w:val="nil"/>
                <w:bottom w:val="nil"/>
                <w:right w:val="nil"/>
                <w:between w:val="nil"/>
              </w:pBdr>
              <w:spacing w:before="120" w:line="276" w:lineRule="auto"/>
              <w:ind w:left="0" w:hanging="2"/>
              <w:jc w:val="left"/>
              <w:rPr>
                <w:rFonts w:ascii="Calibri" w:hAnsi="Calibri" w:cs="Calibri"/>
                <w:color w:val="000000"/>
                <w:sz w:val="24"/>
                <w:szCs w:val="24"/>
              </w:rPr>
            </w:pPr>
            <w:r w:rsidRPr="00300557">
              <w:rPr>
                <w:rFonts w:ascii="Calibri" w:hAnsi="Calibri" w:cs="Calibri"/>
                <w:b/>
                <w:color w:val="000000"/>
                <w:sz w:val="22"/>
              </w:rPr>
              <w:t>Abstract</w:t>
            </w:r>
          </w:p>
          <w:p w14:paraId="4B418AE5" w14:textId="011D976D" w:rsidR="00D41DBC" w:rsidRPr="00300557" w:rsidRDefault="006334E5">
            <w:pPr>
              <w:pBdr>
                <w:top w:val="nil"/>
                <w:left w:val="nil"/>
                <w:bottom w:val="nil"/>
                <w:right w:val="nil"/>
                <w:between w:val="nil"/>
              </w:pBdr>
              <w:spacing w:line="240" w:lineRule="auto"/>
              <w:ind w:left="0" w:hanging="2"/>
              <w:jc w:val="both"/>
              <w:rPr>
                <w:rFonts w:ascii="Calibri" w:hAnsi="Calibri" w:cs="Calibri"/>
                <w:color w:val="000000"/>
                <w:szCs w:val="20"/>
              </w:rPr>
            </w:pPr>
            <w:r w:rsidRPr="00300557">
              <w:rPr>
                <w:rFonts w:ascii="Calibri" w:hAnsi="Calibri" w:cs="Calibri"/>
                <w:color w:val="000000"/>
                <w:szCs w:val="20"/>
              </w:rPr>
              <w:t>____________________________________________________________</w:t>
            </w:r>
          </w:p>
          <w:p w14:paraId="6D54B3CC" w14:textId="4303AD33" w:rsidR="00ED6A44" w:rsidRDefault="0028169A" w:rsidP="00216987">
            <w:pPr>
              <w:pBdr>
                <w:top w:val="nil"/>
                <w:left w:val="nil"/>
                <w:bottom w:val="nil"/>
                <w:right w:val="nil"/>
                <w:between w:val="nil"/>
              </w:pBdr>
              <w:spacing w:line="276" w:lineRule="auto"/>
              <w:ind w:left="0" w:hanging="2"/>
              <w:jc w:val="both"/>
              <w:rPr>
                <w:rFonts w:ascii="Calibri" w:hAnsi="Calibri" w:cs="Calibri"/>
                <w:bCs/>
                <w:iCs/>
                <w:color w:val="000000"/>
                <w:sz w:val="22"/>
              </w:rPr>
            </w:pPr>
            <w:r w:rsidRPr="0028169A">
              <w:rPr>
                <w:rFonts w:ascii="Calibri" w:hAnsi="Calibri" w:cs="Calibri"/>
                <w:bCs/>
                <w:iCs/>
                <w:color w:val="000000"/>
                <w:sz w:val="22"/>
              </w:rPr>
              <w:t xml:space="preserve">This study investigates the determinants of financial statement fraud in Indonesian state-owned enterprises (SOEs) using the Fraud Pentagon Theory, which extends the traditional fraud triangle by incorporating five dimensions: pressure, opportunity, rationalization, capability, and arrogance. Each element is proxied by financial stability, the proportion of independent commissioners, auditor turnover, board of </w:t>
            </w:r>
            <w:proofErr w:type="gramStart"/>
            <w:r w:rsidRPr="0028169A">
              <w:rPr>
                <w:rFonts w:ascii="Calibri" w:hAnsi="Calibri" w:cs="Calibri"/>
                <w:bCs/>
                <w:iCs/>
                <w:color w:val="000000"/>
                <w:sz w:val="22"/>
              </w:rPr>
              <w:t>directors</w:t>
            </w:r>
            <w:proofErr w:type="gramEnd"/>
            <w:r w:rsidRPr="0028169A">
              <w:rPr>
                <w:rFonts w:ascii="Calibri" w:hAnsi="Calibri" w:cs="Calibri"/>
                <w:bCs/>
                <w:iCs/>
                <w:color w:val="000000"/>
                <w:sz w:val="22"/>
              </w:rPr>
              <w:t xml:space="preserve"> turnover, and CEO profile picture. The analysis is based on panel data from 25 SOEs listed on the Indonesia Stock Exchange (IDX) during 2019–2023, with fraud measured using the F-Score model. Panel regression results show that financial stability significantly increases the likelihood of fraudulent reporting, indicating that financial pressure is a key driver of earnings manipulation. In contrast, the other variables do not exhibit significant effects, suggesting that conventional governance and image-based proxies may have limited predictive value in this context. These findings offer empirical support for the Fraud Pentagon framework in the public sector and highlight the need for more targeted fraud detection strategies beyond traditional governance indicators.</w:t>
            </w:r>
          </w:p>
          <w:p w14:paraId="7F1868E5" w14:textId="77777777" w:rsidR="0028169A" w:rsidRPr="00E16967" w:rsidRDefault="0028169A" w:rsidP="00216987">
            <w:pPr>
              <w:pBdr>
                <w:top w:val="nil"/>
                <w:left w:val="nil"/>
                <w:bottom w:val="nil"/>
                <w:right w:val="nil"/>
                <w:between w:val="nil"/>
              </w:pBdr>
              <w:spacing w:line="276" w:lineRule="auto"/>
              <w:ind w:left="0" w:hanging="2"/>
              <w:jc w:val="both"/>
              <w:rPr>
                <w:rFonts w:ascii="Calibri" w:hAnsi="Calibri" w:cs="Calibri"/>
                <w:color w:val="000000"/>
                <w:sz w:val="22"/>
              </w:rPr>
            </w:pPr>
          </w:p>
          <w:p w14:paraId="062EA82B" w14:textId="557F97B6" w:rsidR="00216987" w:rsidRPr="00300557" w:rsidRDefault="00264A67" w:rsidP="00216987">
            <w:pPr>
              <w:pBdr>
                <w:top w:val="nil"/>
                <w:left w:val="nil"/>
                <w:bottom w:val="nil"/>
                <w:right w:val="nil"/>
                <w:between w:val="nil"/>
              </w:pBdr>
              <w:spacing w:line="276" w:lineRule="auto"/>
              <w:ind w:left="0" w:hanging="2"/>
              <w:jc w:val="left"/>
              <w:rPr>
                <w:rFonts w:ascii="Calibri" w:hAnsi="Calibri" w:cs="Calibri"/>
                <w:color w:val="000000"/>
                <w:szCs w:val="20"/>
              </w:rPr>
            </w:pPr>
            <w:r w:rsidRPr="00E16967">
              <w:rPr>
                <w:rFonts w:ascii="Calibri" w:hAnsi="Calibri" w:cs="Calibri"/>
                <w:color w:val="000000"/>
                <w:sz w:val="22"/>
              </w:rPr>
              <w:t>JEL Classification:</w:t>
            </w:r>
            <w:r w:rsidR="00503AD6">
              <w:rPr>
                <w:rFonts w:ascii="Calibri" w:hAnsi="Calibri" w:cs="Calibri"/>
                <w:color w:val="000000"/>
                <w:sz w:val="22"/>
              </w:rPr>
              <w:t xml:space="preserve"> </w:t>
            </w:r>
            <w:r w:rsidR="008516CE" w:rsidRPr="008516CE">
              <w:rPr>
                <w:rFonts w:ascii="Calibri" w:hAnsi="Calibri" w:cs="Calibri"/>
                <w:color w:val="000000"/>
                <w:sz w:val="22"/>
              </w:rPr>
              <w:t>M42, H83,</w:t>
            </w:r>
            <w:r w:rsidR="00B91A73">
              <w:rPr>
                <w:rFonts w:ascii="Calibri" w:hAnsi="Calibri" w:cs="Calibri"/>
                <w:color w:val="000000"/>
                <w:sz w:val="22"/>
              </w:rPr>
              <w:t xml:space="preserve"> </w:t>
            </w:r>
            <w:r w:rsidR="008516CE" w:rsidRPr="008516CE">
              <w:rPr>
                <w:rFonts w:ascii="Calibri" w:hAnsi="Calibri" w:cs="Calibri"/>
                <w:color w:val="000000"/>
                <w:sz w:val="22"/>
              </w:rPr>
              <w:t>G34</w:t>
            </w:r>
          </w:p>
        </w:tc>
      </w:tr>
      <w:tr w:rsidR="00D41DBC" w14:paraId="5A8AAD63" w14:textId="77777777" w:rsidTr="00E83F04">
        <w:trPr>
          <w:trHeight w:val="379"/>
        </w:trPr>
        <w:tc>
          <w:tcPr>
            <w:tcW w:w="9565" w:type="dxa"/>
            <w:gridSpan w:val="4"/>
            <w:tcBorders>
              <w:top w:val="single" w:sz="4" w:space="0" w:color="auto"/>
              <w:bottom w:val="single" w:sz="4" w:space="0" w:color="auto"/>
            </w:tcBorders>
          </w:tcPr>
          <w:p w14:paraId="2544C6C8" w14:textId="2AC33A41" w:rsidR="00D41DBC" w:rsidRPr="00300557" w:rsidRDefault="006334E5" w:rsidP="00004EFC">
            <w:pPr>
              <w:pBdr>
                <w:top w:val="nil"/>
                <w:left w:val="nil"/>
                <w:bottom w:val="nil"/>
                <w:right w:val="nil"/>
                <w:between w:val="nil"/>
              </w:pBdr>
              <w:spacing w:before="120" w:line="276" w:lineRule="auto"/>
              <w:ind w:left="0" w:hanging="2"/>
              <w:jc w:val="both"/>
              <w:rPr>
                <w:rFonts w:asciiTheme="majorHAnsi" w:hAnsiTheme="majorHAnsi" w:cstheme="majorHAnsi"/>
                <w:color w:val="000000"/>
                <w:sz w:val="24"/>
                <w:szCs w:val="24"/>
              </w:rPr>
            </w:pPr>
            <w:r w:rsidRPr="00300557">
              <w:rPr>
                <w:rFonts w:asciiTheme="majorHAnsi" w:hAnsiTheme="majorHAnsi" w:cstheme="majorHAnsi"/>
                <w:color w:val="000000"/>
                <w:sz w:val="18"/>
                <w:szCs w:val="18"/>
              </w:rPr>
              <w:t>How to Cite</w:t>
            </w:r>
            <w:r w:rsidR="00925487">
              <w:rPr>
                <w:rFonts w:asciiTheme="majorHAnsi" w:hAnsiTheme="majorHAnsi" w:cstheme="majorHAnsi"/>
                <w:color w:val="000000"/>
                <w:sz w:val="18"/>
                <w:szCs w:val="18"/>
              </w:rPr>
              <w:t>:</w:t>
            </w:r>
            <w:r w:rsidR="00ED6A44">
              <w:rPr>
                <w:rFonts w:asciiTheme="majorHAnsi" w:hAnsiTheme="majorHAnsi" w:cstheme="majorHAnsi"/>
                <w:color w:val="000000"/>
                <w:sz w:val="18"/>
                <w:szCs w:val="18"/>
              </w:rPr>
              <w:t xml:space="preserve"> Rahma, E. N. &amp;</w:t>
            </w:r>
            <w:r w:rsidR="00004EFC">
              <w:rPr>
                <w:rFonts w:asciiTheme="majorHAnsi" w:hAnsiTheme="majorHAnsi" w:cstheme="majorHAnsi"/>
                <w:color w:val="000000"/>
                <w:sz w:val="18"/>
                <w:szCs w:val="18"/>
              </w:rPr>
              <w:t xml:space="preserve"> Nurcahyono, N. </w:t>
            </w:r>
            <w:r w:rsidR="00925487" w:rsidRPr="00925487">
              <w:rPr>
                <w:rFonts w:asciiTheme="majorHAnsi" w:hAnsiTheme="majorHAnsi" w:cstheme="majorHAnsi"/>
                <w:color w:val="000000"/>
                <w:sz w:val="18"/>
                <w:szCs w:val="18"/>
              </w:rPr>
              <w:t>(2023).</w:t>
            </w:r>
            <w:r w:rsidR="002A7C84">
              <w:rPr>
                <w:rFonts w:asciiTheme="majorHAnsi" w:hAnsiTheme="majorHAnsi" w:cstheme="majorHAnsi"/>
                <w:color w:val="000000"/>
                <w:sz w:val="18"/>
                <w:szCs w:val="18"/>
              </w:rPr>
              <w:t xml:space="preserve"> </w:t>
            </w:r>
            <w:r w:rsidR="0028169A" w:rsidRPr="0028169A">
              <w:rPr>
                <w:rFonts w:asciiTheme="majorHAnsi" w:hAnsiTheme="majorHAnsi" w:cstheme="majorHAnsi"/>
                <w:color w:val="000000"/>
                <w:sz w:val="18"/>
                <w:szCs w:val="18"/>
              </w:rPr>
              <w:t>Financial Statement Fraud and the Fraud Pentagon Theory: Evidence from Indonesia’s Public Sector</w:t>
            </w:r>
            <w:r w:rsidR="00925487" w:rsidRPr="00925487">
              <w:rPr>
                <w:rFonts w:asciiTheme="majorHAnsi" w:hAnsiTheme="majorHAnsi" w:cstheme="majorHAnsi"/>
                <w:color w:val="000000"/>
                <w:sz w:val="18"/>
                <w:szCs w:val="18"/>
              </w:rPr>
              <w:t xml:space="preserve">. </w:t>
            </w:r>
            <w:proofErr w:type="spellStart"/>
            <w:r w:rsidR="00925487" w:rsidRPr="00925487">
              <w:rPr>
                <w:rFonts w:asciiTheme="majorHAnsi" w:hAnsiTheme="majorHAnsi" w:cstheme="majorHAnsi"/>
                <w:i/>
                <w:iCs/>
                <w:color w:val="000000"/>
                <w:sz w:val="18"/>
                <w:szCs w:val="18"/>
              </w:rPr>
              <w:t>Maksimum</w:t>
            </w:r>
            <w:proofErr w:type="spellEnd"/>
            <w:r w:rsidR="00925487" w:rsidRPr="00925487">
              <w:rPr>
                <w:rFonts w:asciiTheme="majorHAnsi" w:hAnsiTheme="majorHAnsi" w:cstheme="majorHAnsi"/>
                <w:i/>
                <w:iCs/>
                <w:color w:val="000000"/>
                <w:sz w:val="18"/>
                <w:szCs w:val="18"/>
              </w:rPr>
              <w:t xml:space="preserve">: Media </w:t>
            </w:r>
            <w:proofErr w:type="spellStart"/>
            <w:r w:rsidR="00925487" w:rsidRPr="00925487">
              <w:rPr>
                <w:rFonts w:asciiTheme="majorHAnsi" w:hAnsiTheme="majorHAnsi" w:cstheme="majorHAnsi"/>
                <w:i/>
                <w:iCs/>
                <w:color w:val="000000"/>
                <w:sz w:val="18"/>
                <w:szCs w:val="18"/>
              </w:rPr>
              <w:t>Akuntansi</w:t>
            </w:r>
            <w:proofErr w:type="spellEnd"/>
            <w:r w:rsidR="00925487" w:rsidRPr="00925487">
              <w:rPr>
                <w:rFonts w:asciiTheme="majorHAnsi" w:hAnsiTheme="majorHAnsi" w:cstheme="majorHAnsi"/>
                <w:i/>
                <w:iCs/>
                <w:color w:val="000000"/>
                <w:sz w:val="18"/>
                <w:szCs w:val="18"/>
              </w:rPr>
              <w:t xml:space="preserve"> Universitas Muhammadiyah Semarang, 13(2), </w:t>
            </w:r>
            <w:r w:rsidR="00ED6A44">
              <w:rPr>
                <w:rFonts w:asciiTheme="majorHAnsi" w:hAnsiTheme="majorHAnsi" w:cstheme="majorHAnsi"/>
                <w:i/>
                <w:iCs/>
                <w:color w:val="000000"/>
                <w:sz w:val="18"/>
                <w:szCs w:val="18"/>
              </w:rPr>
              <w:t>218-2</w:t>
            </w:r>
            <w:r w:rsidR="001F3F44">
              <w:rPr>
                <w:rFonts w:asciiTheme="majorHAnsi" w:hAnsiTheme="majorHAnsi" w:cstheme="majorHAnsi"/>
                <w:i/>
                <w:iCs/>
                <w:color w:val="000000"/>
                <w:sz w:val="18"/>
                <w:szCs w:val="18"/>
              </w:rPr>
              <w:t>28</w:t>
            </w:r>
          </w:p>
        </w:tc>
      </w:tr>
    </w:tbl>
    <w:p w14:paraId="1C441D3F" w14:textId="45B16514" w:rsidR="00E83F04" w:rsidRPr="0011665D" w:rsidRDefault="00E83F04" w:rsidP="00E83F04">
      <w:pPr>
        <w:suppressAutoHyphens w:val="0"/>
        <w:spacing w:line="240" w:lineRule="auto"/>
        <w:ind w:leftChars="0" w:left="0" w:firstLineChars="0" w:firstLine="0"/>
        <w:jc w:val="both"/>
        <w:textDirection w:val="lrTb"/>
        <w:textAlignment w:val="auto"/>
        <w:outlineLvl w:val="9"/>
        <w:rPr>
          <w:rFonts w:ascii="Calibri" w:hAnsi="Calibri" w:cs="Calibri"/>
          <w:bCs/>
          <w:smallCaps/>
          <w:color w:val="000000"/>
          <w:szCs w:val="20"/>
        </w:rPr>
      </w:pPr>
      <w:proofErr w:type="spellStart"/>
      <w:r w:rsidRPr="0011665D">
        <w:rPr>
          <w:rFonts w:ascii="Calibri" w:hAnsi="Calibri" w:cs="Calibri"/>
          <w:bCs/>
          <w:smallCaps/>
          <w:color w:val="000000"/>
          <w:szCs w:val="20"/>
        </w:rPr>
        <w:t>doi</w:t>
      </w:r>
      <w:proofErr w:type="spellEnd"/>
      <w:r w:rsidRPr="0011665D">
        <w:rPr>
          <w:rFonts w:ascii="Calibri" w:hAnsi="Calibri" w:cs="Calibri"/>
          <w:bCs/>
          <w:smallCaps/>
          <w:color w:val="000000"/>
          <w:szCs w:val="20"/>
        </w:rPr>
        <w:t>: 10.26714/mki.13.2.2023.</w:t>
      </w:r>
      <w:r w:rsidR="00ED6A44">
        <w:rPr>
          <w:rFonts w:ascii="Calibri" w:hAnsi="Calibri" w:cs="Calibri"/>
          <w:bCs/>
          <w:smallCaps/>
          <w:color w:val="000000"/>
          <w:szCs w:val="20"/>
        </w:rPr>
        <w:t>218-</w:t>
      </w:r>
      <w:r w:rsidR="001F3F44">
        <w:rPr>
          <w:rFonts w:ascii="Calibri" w:hAnsi="Calibri" w:cs="Calibri"/>
          <w:bCs/>
          <w:smallCaps/>
          <w:color w:val="000000"/>
          <w:szCs w:val="20"/>
        </w:rPr>
        <w:t>228</w:t>
      </w:r>
    </w:p>
    <w:p w14:paraId="7C22C616" w14:textId="77777777" w:rsidR="00E83F04" w:rsidRPr="0011665D" w:rsidRDefault="00E83F04" w:rsidP="00E83F04">
      <w:pPr>
        <w:pBdr>
          <w:top w:val="nil"/>
          <w:left w:val="nil"/>
          <w:bottom w:val="nil"/>
          <w:right w:val="nil"/>
          <w:between w:val="nil"/>
        </w:pBdr>
        <w:spacing w:line="288" w:lineRule="auto"/>
        <w:ind w:left="0" w:hanging="2"/>
        <w:jc w:val="both"/>
        <w:rPr>
          <w:b/>
          <w:smallCaps/>
          <w:color w:val="000000"/>
          <w:sz w:val="24"/>
          <w:szCs w:val="24"/>
        </w:rPr>
      </w:pPr>
      <w:r w:rsidRPr="0011665D">
        <w:rPr>
          <w:rFonts w:ascii="Calibri" w:hAnsi="Calibri" w:cs="Calibri"/>
          <w:szCs w:val="20"/>
          <w:shd w:val="clear" w:color="auto" w:fill="FFFFFF"/>
        </w:rPr>
        <w:t>Copyright © 2023 Authors. This work is licensed under a Creative Commons Attribution-Non-Commercial No Derivatives 4.0 International License (</w:t>
      </w:r>
      <w:hyperlink r:id="rId12" w:history="1">
        <w:r w:rsidRPr="0011665D">
          <w:rPr>
            <w:rStyle w:val="Hyperlink"/>
            <w:rFonts w:ascii="Calibri" w:hAnsi="Calibri" w:cs="Calibri"/>
            <w:szCs w:val="20"/>
            <w:u w:val="none"/>
            <w:shd w:val="clear" w:color="auto" w:fill="FFFFFF"/>
          </w:rPr>
          <w:t>https://creativecommons.org/licenses/by-nc-nd/4.0/</w:t>
        </w:r>
      </w:hyperlink>
      <w:r w:rsidRPr="0011665D">
        <w:rPr>
          <w:rFonts w:ascii="Calibri" w:hAnsi="Calibri" w:cs="Calibri"/>
          <w:szCs w:val="20"/>
          <w:shd w:val="clear" w:color="auto" w:fill="FFFFFF"/>
        </w:rPr>
        <w:t xml:space="preserve">) </w:t>
      </w:r>
      <w:r w:rsidRPr="0011665D">
        <w:rPr>
          <w:rFonts w:ascii="Calibri" w:hAnsi="Calibri" w:cs="Calibri"/>
          <w:b/>
          <w:smallCaps/>
          <w:color w:val="000000"/>
          <w:szCs w:val="20"/>
        </w:rPr>
        <w:t xml:space="preserve"> </w:t>
      </w:r>
    </w:p>
    <w:p w14:paraId="3DCF626B" w14:textId="77777777" w:rsidR="00E83F04" w:rsidRDefault="00E83F04" w:rsidP="00E83F04">
      <w:pPr>
        <w:ind w:left="1" w:hanging="3"/>
        <w:jc w:val="both"/>
        <w:rPr>
          <w:rFonts w:ascii="Garamond" w:hAnsi="Garamond" w:cstheme="majorHAnsi"/>
          <w:b/>
          <w:bCs/>
          <w:sz w:val="28"/>
          <w:szCs w:val="28"/>
        </w:rPr>
      </w:pPr>
    </w:p>
    <w:p w14:paraId="7D4F3B95" w14:textId="77777777" w:rsidR="00E83F04" w:rsidRDefault="00E83F04">
      <w:pPr>
        <w:suppressAutoHyphens w:val="0"/>
        <w:spacing w:line="240" w:lineRule="auto"/>
        <w:ind w:leftChars="0" w:left="0" w:firstLineChars="0" w:firstLine="0"/>
        <w:textDirection w:val="lrTb"/>
        <w:textAlignment w:val="auto"/>
        <w:outlineLvl w:val="9"/>
        <w:rPr>
          <w:rFonts w:ascii="Garamond" w:hAnsi="Garamond" w:cstheme="majorHAnsi"/>
          <w:b/>
          <w:bCs/>
          <w:sz w:val="28"/>
          <w:szCs w:val="28"/>
        </w:rPr>
      </w:pPr>
      <w:r>
        <w:rPr>
          <w:rFonts w:ascii="Garamond" w:hAnsi="Garamond" w:cstheme="majorHAnsi"/>
          <w:b/>
          <w:bCs/>
          <w:sz w:val="28"/>
          <w:szCs w:val="28"/>
        </w:rPr>
        <w:br w:type="page"/>
      </w:r>
    </w:p>
    <w:p w14:paraId="4327FABB" w14:textId="57FF6EEC" w:rsidR="00D41DBC" w:rsidRPr="00526AE7" w:rsidRDefault="002A459C">
      <w:pPr>
        <w:ind w:left="1" w:hanging="3"/>
        <w:rPr>
          <w:rFonts w:ascii="Garamond" w:hAnsi="Garamond" w:cstheme="majorHAnsi"/>
          <w:b/>
          <w:bCs/>
          <w:sz w:val="28"/>
          <w:szCs w:val="28"/>
        </w:rPr>
      </w:pPr>
      <w:r w:rsidRPr="00526AE7">
        <w:rPr>
          <w:rFonts w:ascii="Garamond" w:hAnsi="Garamond" w:cstheme="majorHAnsi"/>
          <w:b/>
          <w:bCs/>
          <w:sz w:val="28"/>
          <w:szCs w:val="28"/>
        </w:rPr>
        <w:lastRenderedPageBreak/>
        <w:t>Introduction</w:t>
      </w:r>
    </w:p>
    <w:p w14:paraId="5EAACE01" w14:textId="1C424040" w:rsidR="002A459C" w:rsidRDefault="002A459C">
      <w:pPr>
        <w:ind w:left="0" w:hanging="2"/>
        <w:rPr>
          <w:rFonts w:asciiTheme="majorHAnsi" w:hAnsiTheme="majorHAnsi" w:cstheme="majorHAnsi"/>
          <w:sz w:val="22"/>
        </w:rPr>
      </w:pPr>
    </w:p>
    <w:p w14:paraId="5C4911A2" w14:textId="74D55F97" w:rsidR="0028169A" w:rsidRPr="000C62D7" w:rsidRDefault="0028169A" w:rsidP="0028169A">
      <w:pPr>
        <w:ind w:left="0" w:hanging="2"/>
        <w:jc w:val="both"/>
        <w:rPr>
          <w:rFonts w:ascii="Calibri" w:hAnsi="Calibri" w:cs="Calibri"/>
          <w:color w:val="0E101A"/>
          <w:sz w:val="22"/>
        </w:rPr>
      </w:pPr>
      <w:hyperlink w:anchor="ACFE2022" w:history="1">
        <w:r w:rsidRPr="000C62D7">
          <w:rPr>
            <w:rStyle w:val="Hyperlink"/>
            <w:rFonts w:ascii="Calibri" w:hAnsi="Calibri" w:cs="Calibri"/>
            <w:sz w:val="22"/>
            <w:u w:val="none"/>
          </w:rPr>
          <w:t>The Association of Certified Fraud Examiners (ACFE) (2022)</w:t>
        </w:r>
      </w:hyperlink>
      <w:r w:rsidRPr="000C62D7">
        <w:rPr>
          <w:rFonts w:ascii="Calibri" w:hAnsi="Calibri" w:cs="Calibri"/>
          <w:color w:val="0E101A"/>
          <w:sz w:val="22"/>
        </w:rPr>
        <w:t xml:space="preserve"> reports from 2014 to 2022 consistently highlight financial statement fraud as one of the most damaging and persistent forms of corporate misconduct globally, including in Indonesia. Throughout this period, Indonesia has ranked among the top three countries in the Asia-Pacific region for reported fraud cases. Notably, in 2020, Indonesia recorded the highest number of cases (36), and in 2022, it remained within the top three, with 23 reported incidents.</w:t>
      </w:r>
    </w:p>
    <w:p w14:paraId="49F8F8B9" w14:textId="77777777" w:rsidR="0028169A" w:rsidRPr="000C62D7" w:rsidRDefault="0028169A" w:rsidP="0028169A">
      <w:pPr>
        <w:ind w:left="0" w:hanging="2"/>
        <w:jc w:val="both"/>
        <w:rPr>
          <w:rFonts w:ascii="Calibri" w:hAnsi="Calibri" w:cs="Calibri"/>
          <w:color w:val="0E101A"/>
          <w:sz w:val="22"/>
        </w:rPr>
      </w:pPr>
    </w:p>
    <w:p w14:paraId="7A365315" w14:textId="4EE1147A" w:rsidR="0028169A" w:rsidRPr="000C62D7" w:rsidRDefault="0028169A" w:rsidP="0028169A">
      <w:pPr>
        <w:ind w:left="0" w:hanging="2"/>
        <w:jc w:val="both"/>
        <w:rPr>
          <w:rFonts w:ascii="Calibri" w:hAnsi="Calibri" w:cs="Calibri"/>
          <w:color w:val="0E101A"/>
          <w:sz w:val="22"/>
        </w:rPr>
      </w:pPr>
      <w:hyperlink w:anchor="ACFE2019" w:history="1">
        <w:r w:rsidRPr="000C62D7">
          <w:rPr>
            <w:rStyle w:val="Hyperlink"/>
            <w:rFonts w:ascii="Calibri" w:hAnsi="Calibri" w:cs="Calibri"/>
            <w:sz w:val="22"/>
            <w:u w:val="none"/>
          </w:rPr>
          <w:t>The ACFE Indonesia (2019)</w:t>
        </w:r>
      </w:hyperlink>
      <w:r w:rsidRPr="000C62D7">
        <w:rPr>
          <w:rFonts w:ascii="Calibri" w:hAnsi="Calibri" w:cs="Calibri"/>
          <w:color w:val="0E101A"/>
          <w:sz w:val="22"/>
        </w:rPr>
        <w:t xml:space="preserve"> report classifies fraud into three main categories: asset misappropriation, corruption, and financial statement fraud. Although less frequent than other types, financial statement fraud results in the highest financial losses, underscoring its profound implications for investor confidence, corporate stability, and the integrity of financial reporting.</w:t>
      </w:r>
    </w:p>
    <w:p w14:paraId="697E850C" w14:textId="77777777" w:rsidR="0028169A" w:rsidRPr="000C62D7" w:rsidRDefault="0028169A" w:rsidP="0028169A">
      <w:pPr>
        <w:ind w:left="0" w:hanging="2"/>
        <w:jc w:val="both"/>
        <w:rPr>
          <w:rFonts w:ascii="Calibri" w:hAnsi="Calibri" w:cs="Calibri"/>
          <w:color w:val="0E101A"/>
          <w:sz w:val="22"/>
        </w:rPr>
      </w:pPr>
    </w:p>
    <w:p w14:paraId="111E47AA" w14:textId="35C31013"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 xml:space="preserve">This concern is particularly evident in several high-profile cases involving Indonesian state-owned enterprises (SOEs), which are expected to uphold exemplary governance standards due to their strategic national roles and government oversight. For instance, PT Garuda Indonesia </w:t>
      </w:r>
      <w:proofErr w:type="spellStart"/>
      <w:r w:rsidRPr="000C62D7">
        <w:rPr>
          <w:rFonts w:ascii="Calibri" w:hAnsi="Calibri" w:cs="Calibri"/>
          <w:color w:val="0E101A"/>
          <w:sz w:val="22"/>
        </w:rPr>
        <w:t>Tbk</w:t>
      </w:r>
      <w:proofErr w:type="spellEnd"/>
      <w:r w:rsidRPr="000C62D7">
        <w:rPr>
          <w:rFonts w:ascii="Calibri" w:hAnsi="Calibri" w:cs="Calibri"/>
          <w:color w:val="0E101A"/>
          <w:sz w:val="22"/>
        </w:rPr>
        <w:t xml:space="preserve"> reported IDR 3.5 trillion in revenue that was, in fact, accounts receivable. Similarly, PT </w:t>
      </w:r>
      <w:proofErr w:type="spellStart"/>
      <w:r w:rsidRPr="000C62D7">
        <w:rPr>
          <w:rFonts w:ascii="Calibri" w:hAnsi="Calibri" w:cs="Calibri"/>
          <w:color w:val="0E101A"/>
          <w:sz w:val="22"/>
        </w:rPr>
        <w:t>Asuransi</w:t>
      </w:r>
      <w:proofErr w:type="spellEnd"/>
      <w:r w:rsidRPr="000C62D7">
        <w:rPr>
          <w:rFonts w:ascii="Calibri" w:hAnsi="Calibri" w:cs="Calibri"/>
          <w:color w:val="0E101A"/>
          <w:sz w:val="22"/>
        </w:rPr>
        <w:t xml:space="preserve"> </w:t>
      </w:r>
      <w:proofErr w:type="spellStart"/>
      <w:r w:rsidRPr="000C62D7">
        <w:rPr>
          <w:rFonts w:ascii="Calibri" w:hAnsi="Calibri" w:cs="Calibri"/>
          <w:color w:val="0E101A"/>
          <w:sz w:val="22"/>
        </w:rPr>
        <w:t>Jiwasraya</w:t>
      </w:r>
      <w:proofErr w:type="spellEnd"/>
      <w:r w:rsidRPr="000C62D7">
        <w:rPr>
          <w:rFonts w:ascii="Calibri" w:hAnsi="Calibri" w:cs="Calibri"/>
          <w:color w:val="0E101A"/>
          <w:sz w:val="22"/>
        </w:rPr>
        <w:t xml:space="preserve">, in early 2020, was embroiled in misreporting linked to irrational investment practices and internal audit findings. Other cases include PT </w:t>
      </w:r>
      <w:proofErr w:type="spellStart"/>
      <w:r w:rsidRPr="000C62D7">
        <w:rPr>
          <w:rFonts w:ascii="Calibri" w:hAnsi="Calibri" w:cs="Calibri"/>
          <w:color w:val="0E101A"/>
          <w:sz w:val="22"/>
        </w:rPr>
        <w:t>Waskita</w:t>
      </w:r>
      <w:proofErr w:type="spellEnd"/>
      <w:r w:rsidRPr="000C62D7">
        <w:rPr>
          <w:rFonts w:ascii="Calibri" w:hAnsi="Calibri" w:cs="Calibri"/>
          <w:color w:val="0E101A"/>
          <w:sz w:val="22"/>
        </w:rPr>
        <w:t xml:space="preserve"> Karya </w:t>
      </w:r>
      <w:proofErr w:type="spellStart"/>
      <w:r w:rsidRPr="000C62D7">
        <w:rPr>
          <w:rFonts w:ascii="Calibri" w:hAnsi="Calibri" w:cs="Calibri"/>
          <w:color w:val="0E101A"/>
          <w:sz w:val="22"/>
        </w:rPr>
        <w:t>Tbk</w:t>
      </w:r>
      <w:proofErr w:type="spellEnd"/>
      <w:r w:rsidRPr="000C62D7">
        <w:rPr>
          <w:rFonts w:ascii="Calibri" w:hAnsi="Calibri" w:cs="Calibri"/>
          <w:color w:val="0E101A"/>
          <w:sz w:val="22"/>
        </w:rPr>
        <w:t xml:space="preserve"> and PT Wijaya Karya </w:t>
      </w:r>
      <w:proofErr w:type="spellStart"/>
      <w:r w:rsidRPr="000C62D7">
        <w:rPr>
          <w:rFonts w:ascii="Calibri" w:hAnsi="Calibri" w:cs="Calibri"/>
          <w:color w:val="0E101A"/>
          <w:sz w:val="22"/>
        </w:rPr>
        <w:t>Tbk</w:t>
      </w:r>
      <w:proofErr w:type="spellEnd"/>
      <w:r w:rsidRPr="000C62D7">
        <w:rPr>
          <w:rFonts w:ascii="Calibri" w:hAnsi="Calibri" w:cs="Calibri"/>
          <w:color w:val="0E101A"/>
          <w:sz w:val="22"/>
        </w:rPr>
        <w:t>, which reported profits across several years despite consistently negative cash flows—raising concerns about accounting integrity and financial transparency.</w:t>
      </w:r>
    </w:p>
    <w:p w14:paraId="174C8644" w14:textId="77777777" w:rsidR="0028169A" w:rsidRPr="000C62D7" w:rsidRDefault="0028169A" w:rsidP="0028169A">
      <w:pPr>
        <w:ind w:left="0" w:hanging="2"/>
        <w:jc w:val="both"/>
        <w:rPr>
          <w:rFonts w:ascii="Calibri" w:hAnsi="Calibri" w:cs="Calibri"/>
          <w:color w:val="0E101A"/>
          <w:sz w:val="22"/>
        </w:rPr>
      </w:pPr>
    </w:p>
    <w:p w14:paraId="51B00220" w14:textId="5FA63F4B"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 xml:space="preserve">Financial statement fraud is the intentional misrepresentation or omission of material financial data, manipulation of accounting records, or falsifying transactions to distort a company's financial performance and condition </w:t>
      </w:r>
      <w:hyperlink w:anchor="Rachman" w:history="1">
        <w:r w:rsidRPr="000C62D7">
          <w:rPr>
            <w:rStyle w:val="Hyperlink"/>
            <w:rFonts w:ascii="Calibri" w:hAnsi="Calibri" w:cs="Calibri"/>
            <w:sz w:val="22"/>
            <w:u w:val="none"/>
          </w:rPr>
          <w:t>(Rachman et al., 2023)</w:t>
        </w:r>
      </w:hyperlink>
      <w:r w:rsidRPr="000C62D7">
        <w:rPr>
          <w:rFonts w:ascii="Calibri" w:hAnsi="Calibri" w:cs="Calibri"/>
          <w:color w:val="0E101A"/>
          <w:sz w:val="22"/>
        </w:rPr>
        <w:t>. Such fraud's increasing complexity and material consequences highlight the need for deeper empirical investigation into its underlying drivers, especially in public-sector organizations.</w:t>
      </w:r>
    </w:p>
    <w:p w14:paraId="1E1CEAEB" w14:textId="77777777" w:rsidR="0028169A" w:rsidRPr="000C62D7" w:rsidRDefault="0028169A" w:rsidP="0028169A">
      <w:pPr>
        <w:ind w:left="0" w:hanging="2"/>
        <w:jc w:val="both"/>
        <w:rPr>
          <w:rFonts w:ascii="Calibri" w:hAnsi="Calibri" w:cs="Calibri"/>
          <w:color w:val="0E101A"/>
          <w:sz w:val="22"/>
        </w:rPr>
      </w:pPr>
    </w:p>
    <w:p w14:paraId="684E5665" w14:textId="7FC236C6"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From a theoretical perspective, much of the existing literature has relied on the F</w:t>
      </w:r>
      <w:r w:rsidR="004D6359" w:rsidRPr="000C62D7">
        <w:rPr>
          <w:rFonts w:ascii="Calibri" w:hAnsi="Calibri" w:cs="Calibri"/>
          <w:color w:val="0E101A"/>
          <w:sz w:val="22"/>
        </w:rPr>
        <w:t xml:space="preserve">raud Triangle Theory </w:t>
      </w:r>
      <w:hyperlink w:anchor="Cressey" w:history="1">
        <w:r w:rsidR="004D6359" w:rsidRPr="000C62D7">
          <w:rPr>
            <w:rStyle w:val="Hyperlink"/>
            <w:rFonts w:ascii="Calibri" w:hAnsi="Calibri" w:cs="Calibri"/>
            <w:sz w:val="22"/>
            <w:u w:val="none"/>
          </w:rPr>
          <w:t>Cressey (</w:t>
        </w:r>
        <w:r w:rsidRPr="000C62D7">
          <w:rPr>
            <w:rStyle w:val="Hyperlink"/>
            <w:rFonts w:ascii="Calibri" w:hAnsi="Calibri" w:cs="Calibri"/>
            <w:sz w:val="22"/>
            <w:u w:val="none"/>
          </w:rPr>
          <w:t>1953)</w:t>
        </w:r>
      </w:hyperlink>
      <w:r w:rsidRPr="000C62D7">
        <w:rPr>
          <w:rFonts w:ascii="Calibri" w:hAnsi="Calibri" w:cs="Calibri"/>
          <w:color w:val="0E101A"/>
          <w:sz w:val="22"/>
        </w:rPr>
        <w:t>, which identifies pressure, opportunity, and rationalization as the key factors influencing fraudulent behavior. However, this model has been criticized for its limited consideration of personal characteristics and positional authority. In response, scholars have developed more nuanced frameworks, including the Fraud Diamond Theory</w:t>
      </w:r>
      <w:r w:rsidR="00344105" w:rsidRPr="000C62D7">
        <w:rPr>
          <w:rFonts w:ascii="Calibri" w:hAnsi="Calibri" w:cs="Calibri"/>
          <w:color w:val="0E101A"/>
          <w:sz w:val="22"/>
        </w:rPr>
        <w:t>,</w:t>
      </w:r>
      <w:r w:rsidRPr="000C62D7">
        <w:rPr>
          <w:rFonts w:ascii="Calibri" w:hAnsi="Calibri" w:cs="Calibri"/>
          <w:color w:val="0E101A"/>
          <w:sz w:val="22"/>
        </w:rPr>
        <w:t xml:space="preserve"> </w:t>
      </w:r>
      <w:hyperlink w:anchor="Wolfe" w:history="1">
        <w:r w:rsidRPr="000C62D7">
          <w:rPr>
            <w:rStyle w:val="Hyperlink"/>
            <w:rFonts w:ascii="Calibri" w:hAnsi="Calibri" w:cs="Calibri"/>
            <w:sz w:val="22"/>
            <w:u w:val="none"/>
          </w:rPr>
          <w:t>Wolfe, D., &amp; Hermanson</w:t>
        </w:r>
        <w:r w:rsidR="00344105" w:rsidRPr="000C62D7">
          <w:rPr>
            <w:rStyle w:val="Hyperlink"/>
            <w:rFonts w:ascii="Calibri" w:hAnsi="Calibri" w:cs="Calibri"/>
            <w:sz w:val="22"/>
            <w:u w:val="none"/>
          </w:rPr>
          <w:t xml:space="preserve"> (</w:t>
        </w:r>
        <w:r w:rsidRPr="000C62D7">
          <w:rPr>
            <w:rStyle w:val="Hyperlink"/>
            <w:rFonts w:ascii="Calibri" w:hAnsi="Calibri" w:cs="Calibri"/>
            <w:sz w:val="22"/>
            <w:u w:val="none"/>
          </w:rPr>
          <w:t>2004)</w:t>
        </w:r>
      </w:hyperlink>
      <w:r w:rsidRPr="000C62D7">
        <w:rPr>
          <w:rFonts w:ascii="Calibri" w:hAnsi="Calibri" w:cs="Calibri"/>
          <w:color w:val="0E101A"/>
          <w:sz w:val="22"/>
        </w:rPr>
        <w:t xml:space="preserve"> and, more recen</w:t>
      </w:r>
      <w:r w:rsidR="004D6359" w:rsidRPr="000C62D7">
        <w:rPr>
          <w:rFonts w:ascii="Calibri" w:hAnsi="Calibri" w:cs="Calibri"/>
          <w:color w:val="0E101A"/>
          <w:sz w:val="22"/>
        </w:rPr>
        <w:t xml:space="preserve">tly, the Fraud Pentagon Theory </w:t>
      </w:r>
      <w:hyperlink w:anchor="Crowe" w:history="1">
        <w:r w:rsidR="004D6359" w:rsidRPr="000C62D7">
          <w:rPr>
            <w:rStyle w:val="Hyperlink"/>
            <w:rFonts w:ascii="Calibri" w:hAnsi="Calibri" w:cs="Calibri"/>
            <w:sz w:val="22"/>
            <w:u w:val="none"/>
          </w:rPr>
          <w:t>Crowe Horwath (</w:t>
        </w:r>
        <w:r w:rsidRPr="000C62D7">
          <w:rPr>
            <w:rStyle w:val="Hyperlink"/>
            <w:rFonts w:ascii="Calibri" w:hAnsi="Calibri" w:cs="Calibri"/>
            <w:sz w:val="22"/>
            <w:u w:val="none"/>
          </w:rPr>
          <w:t>2012)</w:t>
        </w:r>
      </w:hyperlink>
      <w:r w:rsidRPr="000C62D7">
        <w:rPr>
          <w:rFonts w:ascii="Calibri" w:hAnsi="Calibri" w:cs="Calibri"/>
          <w:color w:val="0E101A"/>
          <w:sz w:val="22"/>
        </w:rPr>
        <w:t>, which introduces two additional elements: capability and arrogance.</w:t>
      </w:r>
    </w:p>
    <w:p w14:paraId="2055598E" w14:textId="77777777" w:rsidR="0028169A" w:rsidRPr="000C62D7" w:rsidRDefault="0028169A" w:rsidP="0028169A">
      <w:pPr>
        <w:ind w:left="0" w:hanging="2"/>
        <w:jc w:val="both"/>
        <w:rPr>
          <w:rFonts w:ascii="Calibri" w:hAnsi="Calibri" w:cs="Calibri"/>
          <w:color w:val="0E101A"/>
          <w:sz w:val="22"/>
        </w:rPr>
      </w:pPr>
    </w:p>
    <w:p w14:paraId="05594F8B" w14:textId="566CF2D7"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Despite its conceptual richness, empirical applications of the Fraud Pentagon Theory remain scarce, particularly in emerging markets such as Indonesia and among SOEs that operate under unique governance and ownership structures.</w:t>
      </w:r>
    </w:p>
    <w:p w14:paraId="2CAD0829" w14:textId="77777777" w:rsidR="0028169A" w:rsidRPr="000C62D7" w:rsidRDefault="0028169A" w:rsidP="0028169A">
      <w:pPr>
        <w:ind w:left="0" w:hanging="2"/>
        <w:jc w:val="both"/>
        <w:rPr>
          <w:rFonts w:ascii="Calibri" w:hAnsi="Calibri" w:cs="Calibri"/>
          <w:color w:val="0E101A"/>
          <w:sz w:val="22"/>
        </w:rPr>
      </w:pPr>
    </w:p>
    <w:p w14:paraId="4E4D2864" w14:textId="051ECF82"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This study examines the determinants of financial statement fraud using the Fraud Pentagon Theory as a conceptual lens. The five dimensions—pressure, opportunity, rationalization, capability, and arrogance—are operationalized using measurable proxies drawn from prior research: Pressure is proxied by financial stability, Opportunity by the proportion of independent commissioners, Rationalization by auditor turnover, Capability by changes in the board of directors, and Arrogance by the presence of the CEO's photograph in the annual report. The study also incorporates relevant control variables and focuses on a sample of Indonesian SOEs listed on the Indonesia Stock Exchange (IDX) over the 2019–2023 period.</w:t>
      </w:r>
    </w:p>
    <w:p w14:paraId="0A0B7410" w14:textId="77777777" w:rsidR="0028169A" w:rsidRPr="000C62D7" w:rsidRDefault="0028169A" w:rsidP="0028169A">
      <w:pPr>
        <w:ind w:left="0" w:hanging="2"/>
        <w:jc w:val="both"/>
        <w:rPr>
          <w:rFonts w:ascii="Calibri" w:hAnsi="Calibri" w:cs="Calibri"/>
          <w:color w:val="0E101A"/>
          <w:sz w:val="22"/>
        </w:rPr>
      </w:pPr>
    </w:p>
    <w:p w14:paraId="01135435" w14:textId="77777777"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This research contributes to the literature in several key ways. First, from a theoretical perspective, it extends the application of the Fraud Pentagon Theory to the underexplored context of state-owned enterprises in a developing economy. Empirically testing all five fraud dimensions using context-sensitive indicators advances our understanding of fraud dynamics under public ownership. Second, from a methodological standpoint, the study introduces innovative proxies—including CEO photographs to reflect arrogance—</w:t>
      </w:r>
      <w:r w:rsidRPr="000C62D7">
        <w:rPr>
          <w:rFonts w:ascii="Calibri" w:hAnsi="Calibri" w:cs="Calibri"/>
          <w:color w:val="0E101A"/>
          <w:sz w:val="22"/>
        </w:rPr>
        <w:lastRenderedPageBreak/>
        <w:t>offering new insights into the behavioral and psychological dimensions of fraud. Third, regarding practical relevance, the findings are expected to inform regulators, auditors, and policy-makers in developing risk-based fraud detection and prevention strategies, particularly in enhancing corporate governance frameworks for state-owned entities.</w:t>
      </w:r>
    </w:p>
    <w:p w14:paraId="5D921A7E" w14:textId="77777777" w:rsidR="0028169A" w:rsidRPr="000C62D7" w:rsidRDefault="0028169A" w:rsidP="0028169A">
      <w:pPr>
        <w:ind w:left="0" w:hanging="2"/>
        <w:jc w:val="both"/>
        <w:rPr>
          <w:rFonts w:ascii="Calibri" w:hAnsi="Calibri" w:cs="Calibri"/>
          <w:color w:val="0E101A"/>
          <w:sz w:val="22"/>
        </w:rPr>
      </w:pPr>
    </w:p>
    <w:p w14:paraId="490F382E" w14:textId="77777777" w:rsidR="0028169A" w:rsidRPr="000C62D7" w:rsidRDefault="0028169A" w:rsidP="0028169A">
      <w:pPr>
        <w:ind w:left="0" w:hanging="2"/>
        <w:jc w:val="both"/>
        <w:rPr>
          <w:rFonts w:ascii="Calibri" w:hAnsi="Calibri" w:cs="Calibri"/>
          <w:b/>
          <w:bCs/>
          <w:color w:val="0E101A"/>
          <w:sz w:val="22"/>
        </w:rPr>
      </w:pPr>
      <w:r w:rsidRPr="000C62D7">
        <w:rPr>
          <w:rFonts w:ascii="Calibri" w:hAnsi="Calibri" w:cs="Calibri"/>
          <w:b/>
          <w:bCs/>
          <w:color w:val="0E101A"/>
          <w:sz w:val="22"/>
        </w:rPr>
        <w:t>Hypotheses Development</w:t>
      </w:r>
    </w:p>
    <w:p w14:paraId="67EB0AEF" w14:textId="6F435D2A"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 xml:space="preserve">Research on financial statement fraud has evolved from simple theoretical models into more comprehensive and multifaceted frameworks. The foundational Fraud Triangle Theory, introduced by </w:t>
      </w:r>
      <w:hyperlink w:anchor="Cressey" w:history="1">
        <w:r w:rsidRPr="000C62D7">
          <w:rPr>
            <w:rStyle w:val="Hyperlink"/>
            <w:rFonts w:ascii="Calibri" w:hAnsi="Calibri" w:cs="Calibri"/>
            <w:sz w:val="22"/>
            <w:u w:val="none"/>
          </w:rPr>
          <w:t>Cressey (1953)</w:t>
        </w:r>
      </w:hyperlink>
      <w:r w:rsidRPr="000C62D7">
        <w:rPr>
          <w:rFonts w:ascii="Calibri" w:hAnsi="Calibri" w:cs="Calibri"/>
          <w:color w:val="0E101A"/>
          <w:sz w:val="22"/>
        </w:rPr>
        <w:t xml:space="preserve">, attributes fraud to three core elements: pressure, opportunity, and rationalization. This model was later expanded by </w:t>
      </w:r>
      <w:hyperlink w:anchor="Wolfe" w:history="1">
        <w:r w:rsidRPr="000C62D7">
          <w:rPr>
            <w:rStyle w:val="Hyperlink"/>
            <w:rFonts w:ascii="Calibri" w:hAnsi="Calibri" w:cs="Calibri"/>
            <w:sz w:val="22"/>
            <w:u w:val="none"/>
          </w:rPr>
          <w:t>Wolfe and Hermanson (2004)</w:t>
        </w:r>
      </w:hyperlink>
      <w:r w:rsidRPr="000C62D7">
        <w:rPr>
          <w:rFonts w:ascii="Calibri" w:hAnsi="Calibri" w:cs="Calibri"/>
          <w:color w:val="0E101A"/>
          <w:sz w:val="22"/>
        </w:rPr>
        <w:t xml:space="preserve"> through the Fraud Diamond Theory, which added capability as a fourth element. Further refinement came from </w:t>
      </w:r>
      <w:hyperlink w:anchor="Crowe" w:history="1">
        <w:r w:rsidRPr="000C62D7">
          <w:rPr>
            <w:rStyle w:val="Hyperlink"/>
            <w:rFonts w:ascii="Calibri" w:hAnsi="Calibri" w:cs="Calibri"/>
            <w:sz w:val="22"/>
            <w:u w:val="none"/>
          </w:rPr>
          <w:t>Crowe Horwath (2012)</w:t>
        </w:r>
      </w:hyperlink>
      <w:r w:rsidRPr="000C62D7">
        <w:rPr>
          <w:rFonts w:ascii="Calibri" w:hAnsi="Calibri" w:cs="Calibri"/>
          <w:color w:val="0E101A"/>
          <w:sz w:val="22"/>
        </w:rPr>
        <w:t xml:space="preserve"> with the development of the Fraud Pentagon Theory, which introduced a fifth dimension—arrogance. While </w:t>
      </w:r>
      <w:hyperlink w:anchor="Vousinas" w:history="1">
        <w:proofErr w:type="spellStart"/>
        <w:r w:rsidRPr="000C62D7">
          <w:rPr>
            <w:rStyle w:val="Hyperlink"/>
            <w:rFonts w:ascii="Calibri" w:hAnsi="Calibri" w:cs="Calibri"/>
            <w:sz w:val="22"/>
            <w:u w:val="none"/>
          </w:rPr>
          <w:t>Vousinas</w:t>
        </w:r>
        <w:proofErr w:type="spellEnd"/>
        <w:r w:rsidRPr="000C62D7">
          <w:rPr>
            <w:rStyle w:val="Hyperlink"/>
            <w:rFonts w:ascii="Calibri" w:hAnsi="Calibri" w:cs="Calibri"/>
            <w:sz w:val="22"/>
            <w:u w:val="none"/>
          </w:rPr>
          <w:t xml:space="preserve"> (2019)</w:t>
        </w:r>
      </w:hyperlink>
      <w:r w:rsidRPr="000C62D7">
        <w:rPr>
          <w:rFonts w:ascii="Calibri" w:hAnsi="Calibri" w:cs="Calibri"/>
          <w:color w:val="0E101A"/>
          <w:sz w:val="22"/>
        </w:rPr>
        <w:t xml:space="preserve"> proposed an additional factor, collusion, this study focuses on the five central components of the Fraud Pentagon: pressure, opportunity, rationalization, capability, and arrogance.</w:t>
      </w:r>
    </w:p>
    <w:p w14:paraId="3F0F64F1" w14:textId="77777777" w:rsidR="0028169A" w:rsidRPr="000C62D7" w:rsidRDefault="0028169A" w:rsidP="0028169A">
      <w:pPr>
        <w:ind w:left="0" w:hanging="2"/>
        <w:jc w:val="both"/>
        <w:rPr>
          <w:rFonts w:ascii="Calibri" w:hAnsi="Calibri" w:cs="Calibri"/>
          <w:color w:val="0E101A"/>
          <w:sz w:val="22"/>
        </w:rPr>
      </w:pPr>
    </w:p>
    <w:p w14:paraId="4CA03D87" w14:textId="77777777" w:rsidR="0028169A" w:rsidRPr="000C62D7" w:rsidRDefault="0028169A" w:rsidP="0028169A">
      <w:pPr>
        <w:ind w:left="0" w:hanging="2"/>
        <w:jc w:val="both"/>
        <w:rPr>
          <w:rFonts w:ascii="Calibri" w:hAnsi="Calibri" w:cs="Calibri"/>
          <w:b/>
          <w:bCs/>
          <w:color w:val="0E101A"/>
          <w:sz w:val="22"/>
        </w:rPr>
      </w:pPr>
      <w:r w:rsidRPr="000C62D7">
        <w:rPr>
          <w:rFonts w:ascii="Calibri" w:hAnsi="Calibri" w:cs="Calibri"/>
          <w:b/>
          <w:bCs/>
          <w:color w:val="0E101A"/>
          <w:sz w:val="22"/>
        </w:rPr>
        <w:t>The Effect of Financial Stability on Financial Statement Fraud</w:t>
      </w:r>
    </w:p>
    <w:p w14:paraId="3A6544ED" w14:textId="74704860"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Within the Fraud Pentagon framework, pressure refers to the internal or external forces that compel individuals or corporate management to engage in fraudulent behavior—often in an attempt to meet performance expectations or preserve organizational legitimacy. One of the most prevalent manifestations of such pressure is financial instability.</w:t>
      </w:r>
    </w:p>
    <w:p w14:paraId="12957E6B" w14:textId="77777777" w:rsidR="0028169A" w:rsidRPr="000C62D7" w:rsidRDefault="0028169A" w:rsidP="0028169A">
      <w:pPr>
        <w:ind w:left="0" w:hanging="2"/>
        <w:jc w:val="both"/>
        <w:rPr>
          <w:rFonts w:ascii="Calibri" w:hAnsi="Calibri" w:cs="Calibri"/>
          <w:color w:val="0E101A"/>
          <w:sz w:val="22"/>
        </w:rPr>
      </w:pPr>
    </w:p>
    <w:p w14:paraId="5A120C9E" w14:textId="0797C724"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 xml:space="preserve">Financial stability reflects a firm's ability to maintain consistent and healthy financial conditions over time. A decline in key financial indicators—such as asset value, profitability, or liquidity—can intensify managerial pressure to artificially portray financial strength </w:t>
      </w:r>
      <w:hyperlink w:anchor="Situngkir" w:history="1">
        <w:r w:rsidRPr="000C62D7">
          <w:rPr>
            <w:rStyle w:val="Hyperlink"/>
            <w:rFonts w:ascii="Calibri" w:hAnsi="Calibri" w:cs="Calibri"/>
            <w:sz w:val="22"/>
            <w:u w:val="none"/>
          </w:rPr>
          <w:t>(</w:t>
        </w:r>
        <w:proofErr w:type="spellStart"/>
        <w:r w:rsidRPr="000C62D7">
          <w:rPr>
            <w:rStyle w:val="Hyperlink"/>
            <w:rFonts w:ascii="Calibri" w:hAnsi="Calibri" w:cs="Calibri"/>
            <w:sz w:val="22"/>
            <w:u w:val="none"/>
          </w:rPr>
          <w:t>Situngkir</w:t>
        </w:r>
        <w:proofErr w:type="spellEnd"/>
        <w:r w:rsidRPr="000C62D7">
          <w:rPr>
            <w:rStyle w:val="Hyperlink"/>
            <w:rFonts w:ascii="Calibri" w:hAnsi="Calibri" w:cs="Calibri"/>
            <w:sz w:val="22"/>
            <w:u w:val="none"/>
          </w:rPr>
          <w:t xml:space="preserve"> &amp; Triyanto, 2020)</w:t>
        </w:r>
      </w:hyperlink>
      <w:r w:rsidRPr="000C62D7">
        <w:rPr>
          <w:rFonts w:ascii="Calibri" w:hAnsi="Calibri" w:cs="Calibri"/>
          <w:color w:val="0E101A"/>
          <w:sz w:val="22"/>
        </w:rPr>
        <w:t xml:space="preserve">. Under such conditions, management may resort to financial misrepresentation, such as revenue overstatements or expense deferrals, to maintain investor trust and access to external funding. Empirical studies by </w:t>
      </w:r>
      <w:hyperlink w:anchor="Aulia" w:history="1">
        <w:proofErr w:type="spellStart"/>
        <w:r w:rsidRPr="000C62D7">
          <w:rPr>
            <w:rStyle w:val="Hyperlink"/>
            <w:rFonts w:ascii="Calibri" w:hAnsi="Calibri" w:cs="Calibri"/>
            <w:sz w:val="22"/>
            <w:u w:val="none"/>
          </w:rPr>
          <w:t>Aulia</w:t>
        </w:r>
        <w:proofErr w:type="spellEnd"/>
        <w:r w:rsidRPr="000C62D7">
          <w:rPr>
            <w:rStyle w:val="Hyperlink"/>
            <w:rFonts w:ascii="Calibri" w:hAnsi="Calibri" w:cs="Calibri"/>
            <w:sz w:val="22"/>
            <w:u w:val="none"/>
          </w:rPr>
          <w:t xml:space="preserve"> and </w:t>
        </w:r>
        <w:proofErr w:type="spellStart"/>
        <w:r w:rsidRPr="000C62D7">
          <w:rPr>
            <w:rStyle w:val="Hyperlink"/>
            <w:rFonts w:ascii="Calibri" w:hAnsi="Calibri" w:cs="Calibri"/>
            <w:sz w:val="22"/>
            <w:u w:val="none"/>
          </w:rPr>
          <w:t>Budiwitjaksono</w:t>
        </w:r>
        <w:proofErr w:type="spellEnd"/>
        <w:r w:rsidRPr="000C62D7">
          <w:rPr>
            <w:rStyle w:val="Hyperlink"/>
            <w:rFonts w:ascii="Calibri" w:hAnsi="Calibri" w:cs="Calibri"/>
            <w:sz w:val="22"/>
            <w:u w:val="none"/>
          </w:rPr>
          <w:t xml:space="preserve"> (2020)</w:t>
        </w:r>
      </w:hyperlink>
      <w:r w:rsidR="004D6359" w:rsidRPr="000C62D7">
        <w:rPr>
          <w:rFonts w:ascii="Calibri" w:hAnsi="Calibri" w:cs="Calibri"/>
          <w:color w:val="0E101A"/>
          <w:sz w:val="22"/>
        </w:rPr>
        <w:t>;</w:t>
      </w:r>
      <w:r w:rsidRPr="000C62D7">
        <w:rPr>
          <w:rFonts w:ascii="Calibri" w:hAnsi="Calibri" w:cs="Calibri"/>
          <w:color w:val="0E101A"/>
          <w:sz w:val="22"/>
        </w:rPr>
        <w:t xml:space="preserve"> </w:t>
      </w:r>
      <w:hyperlink w:anchor="Koharudin" w:history="1">
        <w:proofErr w:type="spellStart"/>
        <w:r w:rsidRPr="000C62D7">
          <w:rPr>
            <w:rStyle w:val="Hyperlink"/>
            <w:rFonts w:ascii="Calibri" w:hAnsi="Calibri" w:cs="Calibri"/>
            <w:sz w:val="22"/>
            <w:u w:val="none"/>
          </w:rPr>
          <w:t>Koharudin</w:t>
        </w:r>
        <w:proofErr w:type="spellEnd"/>
        <w:r w:rsidRPr="000C62D7">
          <w:rPr>
            <w:rStyle w:val="Hyperlink"/>
            <w:rFonts w:ascii="Calibri" w:hAnsi="Calibri" w:cs="Calibri"/>
            <w:sz w:val="22"/>
            <w:u w:val="none"/>
          </w:rPr>
          <w:t xml:space="preserve"> and </w:t>
        </w:r>
        <w:proofErr w:type="spellStart"/>
        <w:r w:rsidRPr="000C62D7">
          <w:rPr>
            <w:rStyle w:val="Hyperlink"/>
            <w:rFonts w:ascii="Calibri" w:hAnsi="Calibri" w:cs="Calibri"/>
            <w:sz w:val="22"/>
            <w:u w:val="none"/>
          </w:rPr>
          <w:t>Januarti</w:t>
        </w:r>
        <w:proofErr w:type="spellEnd"/>
        <w:r w:rsidRPr="000C62D7">
          <w:rPr>
            <w:rStyle w:val="Hyperlink"/>
            <w:rFonts w:ascii="Calibri" w:hAnsi="Calibri" w:cs="Calibri"/>
            <w:sz w:val="22"/>
            <w:u w:val="none"/>
          </w:rPr>
          <w:t xml:space="preserve"> (2021)</w:t>
        </w:r>
      </w:hyperlink>
      <w:r w:rsidR="004D6359" w:rsidRPr="000C62D7">
        <w:rPr>
          <w:rFonts w:ascii="Calibri" w:hAnsi="Calibri" w:cs="Calibri"/>
          <w:color w:val="0E101A"/>
          <w:sz w:val="22"/>
        </w:rPr>
        <w:t>;</w:t>
      </w:r>
      <w:r w:rsidRPr="000C62D7">
        <w:rPr>
          <w:rFonts w:ascii="Calibri" w:hAnsi="Calibri" w:cs="Calibri"/>
          <w:color w:val="0E101A"/>
          <w:sz w:val="22"/>
        </w:rPr>
        <w:t xml:space="preserve"> and </w:t>
      </w:r>
      <w:hyperlink w:anchor="Situngkir" w:history="1">
        <w:proofErr w:type="spellStart"/>
        <w:r w:rsidRPr="000C62D7">
          <w:rPr>
            <w:rStyle w:val="Hyperlink"/>
            <w:rFonts w:ascii="Calibri" w:hAnsi="Calibri" w:cs="Calibri"/>
            <w:sz w:val="22"/>
            <w:u w:val="none"/>
          </w:rPr>
          <w:t>Situngkir</w:t>
        </w:r>
        <w:proofErr w:type="spellEnd"/>
        <w:r w:rsidRPr="000C62D7">
          <w:rPr>
            <w:rStyle w:val="Hyperlink"/>
            <w:rFonts w:ascii="Calibri" w:hAnsi="Calibri" w:cs="Calibri"/>
            <w:sz w:val="22"/>
            <w:u w:val="none"/>
          </w:rPr>
          <w:t xml:space="preserve"> and Triyanto (2020)</w:t>
        </w:r>
      </w:hyperlink>
      <w:r w:rsidRPr="000C62D7">
        <w:rPr>
          <w:rFonts w:ascii="Calibri" w:hAnsi="Calibri" w:cs="Calibri"/>
          <w:color w:val="0E101A"/>
          <w:sz w:val="22"/>
        </w:rPr>
        <w:t xml:space="preserve"> provide evidence that financial instability significantly increases the likelihood of fraudulent reporting.</w:t>
      </w:r>
    </w:p>
    <w:p w14:paraId="017ADF0C" w14:textId="77777777" w:rsidR="0028169A" w:rsidRPr="000C62D7" w:rsidRDefault="0028169A" w:rsidP="0028169A">
      <w:pPr>
        <w:ind w:left="0" w:hanging="2"/>
        <w:jc w:val="both"/>
        <w:rPr>
          <w:rFonts w:ascii="Calibri" w:hAnsi="Calibri" w:cs="Calibri"/>
          <w:color w:val="0E101A"/>
          <w:sz w:val="22"/>
        </w:rPr>
      </w:pPr>
      <w:r w:rsidRPr="000C62D7">
        <w:rPr>
          <w:rFonts w:ascii="Calibri" w:hAnsi="Calibri" w:cs="Calibri"/>
          <w:b/>
          <w:bCs/>
          <w:color w:val="0E101A"/>
          <w:sz w:val="22"/>
        </w:rPr>
        <w:t>H1:</w:t>
      </w:r>
      <w:r w:rsidRPr="000C62D7">
        <w:rPr>
          <w:rFonts w:ascii="Calibri" w:hAnsi="Calibri" w:cs="Calibri"/>
          <w:color w:val="0E101A"/>
          <w:sz w:val="22"/>
        </w:rPr>
        <w:t xml:space="preserve"> </w:t>
      </w:r>
      <w:r w:rsidRPr="000C62D7">
        <w:rPr>
          <w:rFonts w:ascii="Calibri" w:hAnsi="Calibri" w:cs="Calibri"/>
          <w:i/>
          <w:iCs/>
          <w:color w:val="0E101A"/>
          <w:sz w:val="22"/>
        </w:rPr>
        <w:t>Financial stability has a positive effect on financial statement fraud.</w:t>
      </w:r>
    </w:p>
    <w:p w14:paraId="61CB7413" w14:textId="77777777" w:rsidR="0028169A" w:rsidRPr="000C62D7" w:rsidRDefault="0028169A" w:rsidP="0028169A">
      <w:pPr>
        <w:ind w:left="0" w:hanging="2"/>
        <w:jc w:val="both"/>
        <w:rPr>
          <w:rFonts w:ascii="Calibri" w:hAnsi="Calibri" w:cs="Calibri"/>
          <w:color w:val="0E101A"/>
          <w:sz w:val="22"/>
        </w:rPr>
      </w:pPr>
    </w:p>
    <w:p w14:paraId="5530D6E4" w14:textId="77777777" w:rsidR="0028169A" w:rsidRPr="000C62D7" w:rsidRDefault="0028169A" w:rsidP="0028169A">
      <w:pPr>
        <w:ind w:left="0" w:hanging="2"/>
        <w:jc w:val="both"/>
        <w:rPr>
          <w:rFonts w:ascii="Calibri" w:hAnsi="Calibri" w:cs="Calibri"/>
          <w:b/>
          <w:bCs/>
          <w:color w:val="0E101A"/>
          <w:sz w:val="22"/>
        </w:rPr>
      </w:pPr>
      <w:r w:rsidRPr="000C62D7">
        <w:rPr>
          <w:rFonts w:ascii="Calibri" w:hAnsi="Calibri" w:cs="Calibri"/>
          <w:b/>
          <w:bCs/>
          <w:color w:val="0E101A"/>
          <w:sz w:val="22"/>
        </w:rPr>
        <w:t>The Effect of Independent Commissioners on Financial Statement Fraud</w:t>
      </w:r>
    </w:p>
    <w:p w14:paraId="30625BCC" w14:textId="7EEB88E8"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Opportunity refers to the structural weaknesses or governance lapses that create favorable conditions for fraud to occur without detection. Among the most critical components of corporate governance affecting this dimension is the effectiveness of independent commissioners.</w:t>
      </w:r>
    </w:p>
    <w:p w14:paraId="2CF01A5A" w14:textId="77777777" w:rsidR="0028169A" w:rsidRPr="000C62D7" w:rsidRDefault="0028169A" w:rsidP="0028169A">
      <w:pPr>
        <w:ind w:left="0" w:hanging="2"/>
        <w:jc w:val="both"/>
        <w:rPr>
          <w:rFonts w:ascii="Calibri" w:hAnsi="Calibri" w:cs="Calibri"/>
          <w:color w:val="0E101A"/>
          <w:sz w:val="22"/>
        </w:rPr>
      </w:pPr>
    </w:p>
    <w:p w14:paraId="13BE0E0D" w14:textId="22EC4E83"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 xml:space="preserve">Independent commissioners are expected to monitor management, enforce accountability, and ensure the transparency of financial disclosures. While their presence theoretically reduces fraud risk, empirical evidence suggests that ineffective or symbolic board oversight can create a governance vacuum, increasing fraudulent activity opportunities </w:t>
      </w:r>
      <w:hyperlink w:anchor="Wibowo" w:history="1">
        <w:r w:rsidRPr="000C62D7">
          <w:rPr>
            <w:rStyle w:val="Hyperlink"/>
            <w:rFonts w:ascii="Calibri" w:hAnsi="Calibri" w:cs="Calibri"/>
            <w:sz w:val="22"/>
            <w:u w:val="none"/>
          </w:rPr>
          <w:t>(Wibowo &amp; Putra, 2023)</w:t>
        </w:r>
      </w:hyperlink>
      <w:r w:rsidRPr="000C62D7">
        <w:rPr>
          <w:rFonts w:ascii="Calibri" w:hAnsi="Calibri" w:cs="Calibri"/>
          <w:color w:val="0E101A"/>
          <w:sz w:val="22"/>
        </w:rPr>
        <w:t xml:space="preserve">. In companies with high operational complexity or extensive product differentiation, the monitoring role of independent commissioners may be diluted, limiting their ability to detect fraud. Research by </w:t>
      </w:r>
      <w:hyperlink w:anchor="Harman" w:history="1">
        <w:r w:rsidRPr="000C62D7">
          <w:rPr>
            <w:rStyle w:val="Hyperlink"/>
            <w:rFonts w:ascii="Calibri" w:hAnsi="Calibri" w:cs="Calibri"/>
            <w:sz w:val="22"/>
            <w:u w:val="none"/>
          </w:rPr>
          <w:t xml:space="preserve">Harman </w:t>
        </w:r>
        <w:r w:rsidR="00D7700E" w:rsidRPr="000C62D7">
          <w:rPr>
            <w:rStyle w:val="Hyperlink"/>
            <w:rFonts w:ascii="Calibri" w:hAnsi="Calibri" w:cs="Calibri"/>
            <w:sz w:val="22"/>
            <w:u w:val="none"/>
          </w:rPr>
          <w:t>and</w:t>
        </w:r>
        <w:r w:rsidRPr="000C62D7">
          <w:rPr>
            <w:rStyle w:val="Hyperlink"/>
            <w:rFonts w:ascii="Calibri" w:hAnsi="Calibri" w:cs="Calibri"/>
            <w:sz w:val="22"/>
            <w:u w:val="none"/>
          </w:rPr>
          <w:t xml:space="preserve"> </w:t>
        </w:r>
        <w:proofErr w:type="spellStart"/>
        <w:r w:rsidRPr="000C62D7">
          <w:rPr>
            <w:rStyle w:val="Hyperlink"/>
            <w:rFonts w:ascii="Calibri" w:hAnsi="Calibri" w:cs="Calibri"/>
            <w:sz w:val="22"/>
            <w:u w:val="none"/>
          </w:rPr>
          <w:t>Bernawati</w:t>
        </w:r>
        <w:proofErr w:type="spellEnd"/>
        <w:r w:rsidRPr="000C62D7">
          <w:rPr>
            <w:rStyle w:val="Hyperlink"/>
            <w:rFonts w:ascii="Calibri" w:hAnsi="Calibri" w:cs="Calibri"/>
            <w:sz w:val="22"/>
            <w:u w:val="none"/>
          </w:rPr>
          <w:t xml:space="preserve"> (2020)</w:t>
        </w:r>
      </w:hyperlink>
      <w:r w:rsidRPr="000C62D7">
        <w:rPr>
          <w:rFonts w:ascii="Calibri" w:hAnsi="Calibri" w:cs="Calibri"/>
          <w:color w:val="0E101A"/>
          <w:sz w:val="22"/>
        </w:rPr>
        <w:t xml:space="preserve">, </w:t>
      </w:r>
      <w:hyperlink w:anchor="Sawaka" w:history="1">
        <w:proofErr w:type="spellStart"/>
        <w:r w:rsidRPr="000C62D7">
          <w:rPr>
            <w:rStyle w:val="Hyperlink"/>
            <w:rFonts w:ascii="Calibri" w:hAnsi="Calibri" w:cs="Calibri"/>
            <w:sz w:val="22"/>
            <w:u w:val="none"/>
          </w:rPr>
          <w:t>Sawaka</w:t>
        </w:r>
        <w:proofErr w:type="spellEnd"/>
        <w:r w:rsidRPr="000C62D7">
          <w:rPr>
            <w:rStyle w:val="Hyperlink"/>
            <w:rFonts w:ascii="Calibri" w:hAnsi="Calibri" w:cs="Calibri"/>
            <w:sz w:val="22"/>
            <w:u w:val="none"/>
          </w:rPr>
          <w:t xml:space="preserve"> (2020)</w:t>
        </w:r>
      </w:hyperlink>
      <w:r w:rsidRPr="000C62D7">
        <w:rPr>
          <w:rFonts w:ascii="Calibri" w:hAnsi="Calibri" w:cs="Calibri"/>
          <w:color w:val="0E101A"/>
          <w:sz w:val="22"/>
        </w:rPr>
        <w:t xml:space="preserve">, and </w:t>
      </w:r>
      <w:hyperlink w:anchor="Rukmana" w:history="1">
        <w:proofErr w:type="spellStart"/>
        <w:r w:rsidRPr="000C62D7">
          <w:rPr>
            <w:rStyle w:val="Hyperlink"/>
            <w:rFonts w:ascii="Calibri" w:hAnsi="Calibri" w:cs="Calibri"/>
            <w:sz w:val="22"/>
            <w:u w:val="none"/>
          </w:rPr>
          <w:t>Rukmana</w:t>
        </w:r>
        <w:proofErr w:type="spellEnd"/>
        <w:r w:rsidRPr="000C62D7">
          <w:rPr>
            <w:rStyle w:val="Hyperlink"/>
            <w:rFonts w:ascii="Calibri" w:hAnsi="Calibri" w:cs="Calibri"/>
            <w:sz w:val="22"/>
            <w:u w:val="none"/>
          </w:rPr>
          <w:t xml:space="preserve"> (2021)</w:t>
        </w:r>
      </w:hyperlink>
      <w:r w:rsidRPr="000C62D7">
        <w:rPr>
          <w:rFonts w:ascii="Calibri" w:hAnsi="Calibri" w:cs="Calibri"/>
          <w:color w:val="0E101A"/>
          <w:sz w:val="22"/>
        </w:rPr>
        <w:t xml:space="preserve"> indicates that the presence of independent commissioners is not always associated with reduced fraud risk and, under certain circumstances, may even be positively associated with fraudulent activity.</w:t>
      </w:r>
    </w:p>
    <w:p w14:paraId="7D2DC6FC" w14:textId="77777777" w:rsidR="0028169A" w:rsidRPr="000C62D7" w:rsidRDefault="0028169A" w:rsidP="0028169A">
      <w:pPr>
        <w:ind w:left="0" w:hanging="2"/>
        <w:jc w:val="both"/>
        <w:rPr>
          <w:rFonts w:ascii="Calibri" w:hAnsi="Calibri" w:cs="Calibri"/>
          <w:color w:val="0E101A"/>
          <w:sz w:val="22"/>
        </w:rPr>
      </w:pPr>
      <w:r w:rsidRPr="000C62D7">
        <w:rPr>
          <w:rFonts w:ascii="Calibri" w:hAnsi="Calibri" w:cs="Calibri"/>
          <w:b/>
          <w:bCs/>
          <w:color w:val="0E101A"/>
          <w:sz w:val="22"/>
        </w:rPr>
        <w:t>H2:</w:t>
      </w:r>
      <w:r w:rsidRPr="000C62D7">
        <w:rPr>
          <w:rFonts w:ascii="Calibri" w:hAnsi="Calibri" w:cs="Calibri"/>
          <w:color w:val="0E101A"/>
          <w:sz w:val="22"/>
        </w:rPr>
        <w:t xml:space="preserve"> </w:t>
      </w:r>
      <w:r w:rsidRPr="000C62D7">
        <w:rPr>
          <w:rFonts w:ascii="Calibri" w:hAnsi="Calibri" w:cs="Calibri"/>
          <w:i/>
          <w:iCs/>
          <w:color w:val="0E101A"/>
          <w:sz w:val="22"/>
        </w:rPr>
        <w:t>Independent commissioners have a positive effect on financial statement fraud.</w:t>
      </w:r>
    </w:p>
    <w:p w14:paraId="6037AF93" w14:textId="77777777" w:rsidR="0028169A" w:rsidRPr="000C62D7" w:rsidRDefault="0028169A" w:rsidP="0028169A">
      <w:pPr>
        <w:ind w:left="0" w:hanging="2"/>
        <w:jc w:val="both"/>
        <w:rPr>
          <w:rFonts w:ascii="Calibri" w:hAnsi="Calibri" w:cs="Calibri"/>
          <w:color w:val="0E101A"/>
          <w:sz w:val="22"/>
        </w:rPr>
      </w:pPr>
    </w:p>
    <w:p w14:paraId="53578852" w14:textId="77777777" w:rsidR="0028169A" w:rsidRPr="000C62D7" w:rsidRDefault="0028169A" w:rsidP="0028169A">
      <w:pPr>
        <w:ind w:left="0" w:hanging="2"/>
        <w:jc w:val="both"/>
        <w:rPr>
          <w:rFonts w:ascii="Calibri" w:hAnsi="Calibri" w:cs="Calibri"/>
          <w:b/>
          <w:bCs/>
          <w:color w:val="0E101A"/>
          <w:sz w:val="22"/>
        </w:rPr>
      </w:pPr>
      <w:r w:rsidRPr="000C62D7">
        <w:rPr>
          <w:rFonts w:ascii="Calibri" w:hAnsi="Calibri" w:cs="Calibri"/>
          <w:b/>
          <w:bCs/>
          <w:color w:val="0E101A"/>
          <w:sz w:val="22"/>
        </w:rPr>
        <w:t>The Effect of Auditor Turnover on Financial Statement Fraud</w:t>
      </w:r>
    </w:p>
    <w:p w14:paraId="60159D89" w14:textId="2374981F"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 xml:space="preserve">Rationalization involves the psychological or moral justification individuals employ to legitimize unethical actions. Within the corporate context, frequent auditor turnover may signal management's attempt to rationalize fraud by undermining consistent oversight or avoiding detection </w:t>
      </w:r>
      <w:hyperlink w:anchor="SawakaHiwa" w:history="1">
        <w:r w:rsidRPr="000C62D7">
          <w:rPr>
            <w:rStyle w:val="Hyperlink"/>
            <w:rFonts w:ascii="Calibri" w:hAnsi="Calibri" w:cs="Calibri"/>
            <w:sz w:val="22"/>
            <w:u w:val="none"/>
          </w:rPr>
          <w:t>(</w:t>
        </w:r>
        <w:proofErr w:type="spellStart"/>
        <w:r w:rsidRPr="000C62D7">
          <w:rPr>
            <w:rStyle w:val="Hyperlink"/>
            <w:rFonts w:ascii="Calibri" w:hAnsi="Calibri" w:cs="Calibri"/>
            <w:sz w:val="22"/>
            <w:u w:val="none"/>
          </w:rPr>
          <w:t>Sawaka</w:t>
        </w:r>
        <w:proofErr w:type="spellEnd"/>
        <w:r w:rsidRPr="000C62D7">
          <w:rPr>
            <w:rStyle w:val="Hyperlink"/>
            <w:rFonts w:ascii="Calibri" w:hAnsi="Calibri" w:cs="Calibri"/>
            <w:sz w:val="22"/>
            <w:u w:val="none"/>
          </w:rPr>
          <w:t xml:space="preserve"> &amp; Hiwa, 2020)</w:t>
        </w:r>
      </w:hyperlink>
      <w:r w:rsidRPr="000C62D7">
        <w:rPr>
          <w:rFonts w:ascii="Calibri" w:hAnsi="Calibri" w:cs="Calibri"/>
          <w:color w:val="0E101A"/>
          <w:sz w:val="22"/>
        </w:rPr>
        <w:t>.</w:t>
      </w:r>
    </w:p>
    <w:p w14:paraId="4D35CC90" w14:textId="77777777" w:rsidR="0028169A" w:rsidRPr="000C62D7" w:rsidRDefault="0028169A" w:rsidP="0028169A">
      <w:pPr>
        <w:ind w:left="0" w:hanging="2"/>
        <w:jc w:val="both"/>
        <w:rPr>
          <w:rFonts w:ascii="Calibri" w:hAnsi="Calibri" w:cs="Calibri"/>
          <w:color w:val="0E101A"/>
          <w:sz w:val="22"/>
        </w:rPr>
      </w:pPr>
    </w:p>
    <w:p w14:paraId="38497241" w14:textId="35EE79B7"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lastRenderedPageBreak/>
        <w:t xml:space="preserve">Auditor changes may not always stem from dissatisfaction with audit quality; instead, they may be strategically implemented to eliminate prior audit trails, secure more lenient auditors, or obscure existing financial irregularities </w:t>
      </w:r>
      <w:hyperlink w:anchor="Koharudin" w:history="1">
        <w:r w:rsidRPr="000C62D7">
          <w:rPr>
            <w:rStyle w:val="Hyperlink"/>
            <w:rFonts w:ascii="Calibri" w:hAnsi="Calibri" w:cs="Calibri"/>
            <w:sz w:val="22"/>
            <w:u w:val="none"/>
          </w:rPr>
          <w:t>(</w:t>
        </w:r>
        <w:proofErr w:type="spellStart"/>
        <w:r w:rsidRPr="000C62D7">
          <w:rPr>
            <w:rStyle w:val="Hyperlink"/>
            <w:rFonts w:ascii="Calibri" w:hAnsi="Calibri" w:cs="Calibri"/>
            <w:sz w:val="22"/>
            <w:u w:val="none"/>
          </w:rPr>
          <w:t>Koharudin</w:t>
        </w:r>
        <w:proofErr w:type="spellEnd"/>
        <w:r w:rsidRPr="000C62D7">
          <w:rPr>
            <w:rStyle w:val="Hyperlink"/>
            <w:rFonts w:ascii="Calibri" w:hAnsi="Calibri" w:cs="Calibri"/>
            <w:sz w:val="22"/>
            <w:u w:val="none"/>
          </w:rPr>
          <w:t xml:space="preserve"> &amp; </w:t>
        </w:r>
        <w:proofErr w:type="spellStart"/>
        <w:r w:rsidRPr="000C62D7">
          <w:rPr>
            <w:rStyle w:val="Hyperlink"/>
            <w:rFonts w:ascii="Calibri" w:hAnsi="Calibri" w:cs="Calibri"/>
            <w:sz w:val="22"/>
            <w:u w:val="none"/>
          </w:rPr>
          <w:t>Januarti</w:t>
        </w:r>
        <w:proofErr w:type="spellEnd"/>
        <w:r w:rsidRPr="000C62D7">
          <w:rPr>
            <w:rStyle w:val="Hyperlink"/>
            <w:rFonts w:ascii="Calibri" w:hAnsi="Calibri" w:cs="Calibri"/>
            <w:sz w:val="22"/>
            <w:u w:val="none"/>
          </w:rPr>
          <w:t>, 2021)</w:t>
        </w:r>
      </w:hyperlink>
      <w:r w:rsidRPr="000C62D7">
        <w:rPr>
          <w:rFonts w:ascii="Calibri" w:hAnsi="Calibri" w:cs="Calibri"/>
          <w:color w:val="0E101A"/>
          <w:sz w:val="22"/>
        </w:rPr>
        <w:t xml:space="preserve">. These justifications enable management to validate fraudulent behavior internally as necessary or reasonable. Studies by </w:t>
      </w:r>
      <w:hyperlink w:anchor="Farida" w:history="1">
        <w:r w:rsidRPr="000C62D7">
          <w:rPr>
            <w:rStyle w:val="Hyperlink"/>
            <w:rFonts w:ascii="Calibri" w:hAnsi="Calibri" w:cs="Calibri"/>
            <w:sz w:val="22"/>
            <w:u w:val="none"/>
          </w:rPr>
          <w:t>Farida et al. (2022)</w:t>
        </w:r>
      </w:hyperlink>
      <w:r w:rsidRPr="000C62D7">
        <w:rPr>
          <w:rFonts w:ascii="Calibri" w:hAnsi="Calibri" w:cs="Calibri"/>
          <w:color w:val="0E101A"/>
          <w:sz w:val="22"/>
        </w:rPr>
        <w:t xml:space="preserve">, </w:t>
      </w:r>
      <w:hyperlink w:anchor="Hastuti" w:history="1">
        <w:proofErr w:type="spellStart"/>
        <w:r w:rsidRPr="000C62D7">
          <w:rPr>
            <w:rStyle w:val="Hyperlink"/>
            <w:rFonts w:ascii="Calibri" w:hAnsi="Calibri" w:cs="Calibri"/>
            <w:sz w:val="22"/>
            <w:u w:val="none"/>
          </w:rPr>
          <w:t>Hastuti</w:t>
        </w:r>
        <w:proofErr w:type="spellEnd"/>
        <w:r w:rsidRPr="000C62D7">
          <w:rPr>
            <w:rStyle w:val="Hyperlink"/>
            <w:rFonts w:ascii="Calibri" w:hAnsi="Calibri" w:cs="Calibri"/>
            <w:sz w:val="22"/>
            <w:u w:val="none"/>
          </w:rPr>
          <w:t xml:space="preserve"> et al. (2023)</w:t>
        </w:r>
      </w:hyperlink>
      <w:r w:rsidRPr="000C62D7">
        <w:rPr>
          <w:rFonts w:ascii="Calibri" w:hAnsi="Calibri" w:cs="Calibri"/>
          <w:color w:val="0E101A"/>
          <w:sz w:val="22"/>
        </w:rPr>
        <w:t xml:space="preserve">, and </w:t>
      </w:r>
      <w:hyperlink w:anchor="SawakaHiwa" w:history="1">
        <w:proofErr w:type="spellStart"/>
        <w:r w:rsidRPr="000C62D7">
          <w:rPr>
            <w:rStyle w:val="Hyperlink"/>
            <w:rFonts w:ascii="Calibri" w:hAnsi="Calibri" w:cs="Calibri"/>
            <w:sz w:val="22"/>
            <w:u w:val="none"/>
          </w:rPr>
          <w:t>Sawaka</w:t>
        </w:r>
        <w:proofErr w:type="spellEnd"/>
        <w:r w:rsidRPr="000C62D7">
          <w:rPr>
            <w:rStyle w:val="Hyperlink"/>
            <w:rFonts w:ascii="Calibri" w:hAnsi="Calibri" w:cs="Calibri"/>
            <w:sz w:val="22"/>
            <w:u w:val="none"/>
          </w:rPr>
          <w:t xml:space="preserve"> and Hiwa (2020)</w:t>
        </w:r>
      </w:hyperlink>
      <w:r w:rsidRPr="000C62D7">
        <w:rPr>
          <w:rFonts w:ascii="Calibri" w:hAnsi="Calibri" w:cs="Calibri"/>
          <w:color w:val="0E101A"/>
          <w:sz w:val="22"/>
        </w:rPr>
        <w:t xml:space="preserve"> consistently demonstrate a positive association between auditor turnover and the incidence of financial statement fraud, particularly in environments marked by heightened reputational risk.</w:t>
      </w:r>
    </w:p>
    <w:p w14:paraId="74B0E726" w14:textId="77777777" w:rsidR="0028169A" w:rsidRPr="000C62D7" w:rsidRDefault="0028169A" w:rsidP="0028169A">
      <w:pPr>
        <w:ind w:left="0" w:hanging="2"/>
        <w:jc w:val="both"/>
        <w:rPr>
          <w:rFonts w:ascii="Calibri" w:hAnsi="Calibri" w:cs="Calibri"/>
          <w:color w:val="0E101A"/>
          <w:sz w:val="22"/>
        </w:rPr>
      </w:pPr>
      <w:r w:rsidRPr="000C62D7">
        <w:rPr>
          <w:rFonts w:ascii="Calibri" w:hAnsi="Calibri" w:cs="Calibri"/>
          <w:b/>
          <w:bCs/>
          <w:color w:val="0E101A"/>
          <w:sz w:val="22"/>
        </w:rPr>
        <w:t>H3:</w:t>
      </w:r>
      <w:r w:rsidRPr="000C62D7">
        <w:rPr>
          <w:rFonts w:ascii="Calibri" w:hAnsi="Calibri" w:cs="Calibri"/>
          <w:color w:val="0E101A"/>
          <w:sz w:val="22"/>
        </w:rPr>
        <w:t xml:space="preserve"> </w:t>
      </w:r>
      <w:r w:rsidRPr="000C62D7">
        <w:rPr>
          <w:rFonts w:ascii="Calibri" w:hAnsi="Calibri" w:cs="Calibri"/>
          <w:i/>
          <w:iCs/>
          <w:color w:val="0E101A"/>
          <w:sz w:val="22"/>
        </w:rPr>
        <w:t>Auditor turnover has a positive effect on financial statement fraud.</w:t>
      </w:r>
    </w:p>
    <w:p w14:paraId="41A09E35" w14:textId="77777777" w:rsidR="0028169A" w:rsidRPr="000C62D7" w:rsidRDefault="0028169A" w:rsidP="0028169A">
      <w:pPr>
        <w:ind w:left="0" w:hanging="2"/>
        <w:jc w:val="both"/>
        <w:rPr>
          <w:rFonts w:ascii="Calibri" w:hAnsi="Calibri" w:cs="Calibri"/>
          <w:color w:val="0E101A"/>
          <w:sz w:val="22"/>
        </w:rPr>
      </w:pPr>
    </w:p>
    <w:p w14:paraId="49E22567" w14:textId="77777777" w:rsidR="0028169A" w:rsidRPr="000C62D7" w:rsidRDefault="0028169A" w:rsidP="0028169A">
      <w:pPr>
        <w:ind w:left="0" w:hanging="2"/>
        <w:jc w:val="both"/>
        <w:rPr>
          <w:rFonts w:ascii="Calibri" w:hAnsi="Calibri" w:cs="Calibri"/>
          <w:b/>
          <w:bCs/>
          <w:color w:val="0E101A"/>
          <w:sz w:val="22"/>
        </w:rPr>
      </w:pPr>
      <w:r w:rsidRPr="000C62D7">
        <w:rPr>
          <w:rFonts w:ascii="Calibri" w:hAnsi="Calibri" w:cs="Calibri"/>
          <w:b/>
          <w:bCs/>
          <w:color w:val="0E101A"/>
          <w:sz w:val="22"/>
        </w:rPr>
        <w:t>The Effect of Board of Directors Turnover on Financial Statement Fraud</w:t>
      </w:r>
    </w:p>
    <w:p w14:paraId="03C1CB92" w14:textId="77777777"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The capability element pertains to the skill, authority, and organizational knowledge that enable individuals to commit fraud and conceal it effectively. Long-tenured executives with deep insights into internal processes are often more capable of exploiting control weaknesses.</w:t>
      </w:r>
    </w:p>
    <w:p w14:paraId="3CAB49C6" w14:textId="77777777" w:rsidR="0028169A" w:rsidRPr="000C62D7" w:rsidRDefault="0028169A" w:rsidP="0028169A">
      <w:pPr>
        <w:ind w:left="0" w:hanging="2"/>
        <w:jc w:val="both"/>
        <w:rPr>
          <w:rFonts w:ascii="Calibri" w:hAnsi="Calibri" w:cs="Calibri"/>
          <w:color w:val="0E101A"/>
          <w:sz w:val="22"/>
        </w:rPr>
      </w:pPr>
    </w:p>
    <w:p w14:paraId="123A1171" w14:textId="5473BE86"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 xml:space="preserve">Conversely, frequent board of </w:t>
      </w:r>
      <w:proofErr w:type="gramStart"/>
      <w:r w:rsidRPr="000C62D7">
        <w:rPr>
          <w:rFonts w:ascii="Calibri" w:hAnsi="Calibri" w:cs="Calibri"/>
          <w:color w:val="0E101A"/>
          <w:sz w:val="22"/>
        </w:rPr>
        <w:t>directors</w:t>
      </w:r>
      <w:proofErr w:type="gramEnd"/>
      <w:r w:rsidRPr="000C62D7">
        <w:rPr>
          <w:rFonts w:ascii="Calibri" w:hAnsi="Calibri" w:cs="Calibri"/>
          <w:color w:val="0E101A"/>
          <w:sz w:val="22"/>
        </w:rPr>
        <w:t xml:space="preserve"> turnover may serve as a governance mechanism that reduces the risk of fraud by disrupting accumulated insider knowledge and weakening the ability to manipulate systems </w:t>
      </w:r>
      <w:hyperlink w:anchor="Permatasari" w:history="1">
        <w:r w:rsidRPr="000C62D7">
          <w:rPr>
            <w:rStyle w:val="Hyperlink"/>
            <w:rFonts w:ascii="Calibri" w:hAnsi="Calibri" w:cs="Calibri"/>
            <w:sz w:val="22"/>
            <w:u w:val="none"/>
          </w:rPr>
          <w:t>(</w:t>
        </w:r>
        <w:proofErr w:type="spellStart"/>
        <w:r w:rsidRPr="000C62D7">
          <w:rPr>
            <w:rStyle w:val="Hyperlink"/>
            <w:rFonts w:ascii="Calibri" w:hAnsi="Calibri" w:cs="Calibri"/>
            <w:sz w:val="22"/>
            <w:u w:val="none"/>
          </w:rPr>
          <w:t>Permatasari</w:t>
        </w:r>
        <w:proofErr w:type="spellEnd"/>
        <w:r w:rsidRPr="000C62D7">
          <w:rPr>
            <w:rStyle w:val="Hyperlink"/>
            <w:rFonts w:ascii="Calibri" w:hAnsi="Calibri" w:cs="Calibri"/>
            <w:sz w:val="22"/>
            <w:u w:val="none"/>
          </w:rPr>
          <w:t xml:space="preserve"> &amp; Laila, 2021)</w:t>
        </w:r>
      </w:hyperlink>
      <w:r w:rsidRPr="000C62D7">
        <w:rPr>
          <w:rFonts w:ascii="Calibri" w:hAnsi="Calibri" w:cs="Calibri"/>
          <w:color w:val="0E101A"/>
          <w:sz w:val="22"/>
        </w:rPr>
        <w:t xml:space="preserve">. New directors may be less familiar with the company's vulnerabilities, diminishing their capacity to exploit systemic flaws. </w:t>
      </w:r>
      <w:hyperlink w:anchor="Rachman" w:history="1">
        <w:r w:rsidRPr="000C62D7">
          <w:rPr>
            <w:rStyle w:val="Hyperlink"/>
            <w:rFonts w:ascii="Calibri" w:hAnsi="Calibri" w:cs="Calibri"/>
            <w:sz w:val="22"/>
            <w:u w:val="none"/>
          </w:rPr>
          <w:t>Rachman et al. (2023)</w:t>
        </w:r>
      </w:hyperlink>
      <w:r w:rsidRPr="000C62D7">
        <w:rPr>
          <w:rFonts w:ascii="Calibri" w:hAnsi="Calibri" w:cs="Calibri"/>
          <w:color w:val="0E101A"/>
          <w:sz w:val="22"/>
        </w:rPr>
        <w:t xml:space="preserve"> observed that individuals responsible for significant fraud cases often held key leadership positions for extended periods. As such, director rotation may limit fraud potential by reducing long-term information asymmetries.</w:t>
      </w:r>
    </w:p>
    <w:p w14:paraId="58BBCDBA" w14:textId="77777777" w:rsidR="0028169A" w:rsidRPr="000C62D7" w:rsidRDefault="0028169A" w:rsidP="0028169A">
      <w:pPr>
        <w:ind w:left="0" w:hanging="2"/>
        <w:jc w:val="both"/>
        <w:rPr>
          <w:rFonts w:ascii="Calibri" w:hAnsi="Calibri" w:cs="Calibri"/>
          <w:i/>
          <w:iCs/>
          <w:color w:val="0E101A"/>
          <w:sz w:val="22"/>
        </w:rPr>
      </w:pPr>
      <w:r w:rsidRPr="000C62D7">
        <w:rPr>
          <w:rFonts w:ascii="Calibri" w:hAnsi="Calibri" w:cs="Calibri"/>
          <w:b/>
          <w:bCs/>
          <w:color w:val="0E101A"/>
          <w:sz w:val="22"/>
        </w:rPr>
        <w:t>H4:</w:t>
      </w:r>
      <w:r w:rsidRPr="000C62D7">
        <w:rPr>
          <w:rFonts w:ascii="Calibri" w:hAnsi="Calibri" w:cs="Calibri"/>
          <w:color w:val="0E101A"/>
          <w:sz w:val="22"/>
        </w:rPr>
        <w:t xml:space="preserve"> </w:t>
      </w:r>
      <w:r w:rsidRPr="000C62D7">
        <w:rPr>
          <w:rFonts w:ascii="Calibri" w:hAnsi="Calibri" w:cs="Calibri"/>
          <w:i/>
          <w:iCs/>
          <w:color w:val="0E101A"/>
          <w:sz w:val="22"/>
        </w:rPr>
        <w:t xml:space="preserve">Board of </w:t>
      </w:r>
      <w:proofErr w:type="gramStart"/>
      <w:r w:rsidRPr="000C62D7">
        <w:rPr>
          <w:rFonts w:ascii="Calibri" w:hAnsi="Calibri" w:cs="Calibri"/>
          <w:i/>
          <w:iCs/>
          <w:color w:val="0E101A"/>
          <w:sz w:val="22"/>
        </w:rPr>
        <w:t>directors</w:t>
      </w:r>
      <w:proofErr w:type="gramEnd"/>
      <w:r w:rsidRPr="000C62D7">
        <w:rPr>
          <w:rFonts w:ascii="Calibri" w:hAnsi="Calibri" w:cs="Calibri"/>
          <w:i/>
          <w:iCs/>
          <w:color w:val="0E101A"/>
          <w:sz w:val="22"/>
        </w:rPr>
        <w:t xml:space="preserve"> turnover hurts financial statement fraud.</w:t>
      </w:r>
    </w:p>
    <w:p w14:paraId="37D042D2" w14:textId="77777777" w:rsidR="0028169A" w:rsidRPr="000C62D7" w:rsidRDefault="0028169A" w:rsidP="0028169A">
      <w:pPr>
        <w:ind w:left="0" w:hanging="2"/>
        <w:jc w:val="both"/>
        <w:rPr>
          <w:rFonts w:ascii="Calibri" w:hAnsi="Calibri" w:cs="Calibri"/>
          <w:color w:val="0E101A"/>
          <w:sz w:val="22"/>
        </w:rPr>
      </w:pPr>
    </w:p>
    <w:p w14:paraId="4BA03B7E" w14:textId="77777777" w:rsidR="0028169A" w:rsidRPr="000C62D7" w:rsidRDefault="0028169A" w:rsidP="0028169A">
      <w:pPr>
        <w:ind w:left="0" w:hanging="2"/>
        <w:jc w:val="both"/>
        <w:rPr>
          <w:rFonts w:ascii="Calibri" w:hAnsi="Calibri" w:cs="Calibri"/>
          <w:b/>
          <w:bCs/>
          <w:color w:val="0E101A"/>
          <w:sz w:val="22"/>
        </w:rPr>
      </w:pPr>
      <w:r w:rsidRPr="000C62D7">
        <w:rPr>
          <w:rFonts w:ascii="Calibri" w:hAnsi="Calibri" w:cs="Calibri"/>
          <w:b/>
          <w:bCs/>
          <w:color w:val="0E101A"/>
          <w:sz w:val="22"/>
        </w:rPr>
        <w:t>The Effect of CEO Profile Picture on Financial Statement Fraud</w:t>
      </w:r>
    </w:p>
    <w:p w14:paraId="5D173C5E" w14:textId="6750CA0B" w:rsidR="0028169A" w:rsidRPr="000C62D7" w:rsidRDefault="0028169A" w:rsidP="0028169A">
      <w:pPr>
        <w:ind w:left="0" w:hanging="2"/>
        <w:jc w:val="both"/>
        <w:rPr>
          <w:rFonts w:ascii="Calibri" w:hAnsi="Calibri" w:cs="Calibri"/>
          <w:color w:val="0E101A"/>
          <w:sz w:val="22"/>
        </w:rPr>
      </w:pPr>
      <w:r w:rsidRPr="000C62D7">
        <w:rPr>
          <w:rFonts w:ascii="Calibri" w:hAnsi="Calibri" w:cs="Calibri"/>
          <w:color w:val="0E101A"/>
          <w:sz w:val="22"/>
        </w:rPr>
        <w:t xml:space="preserve">The final component, arrogance, represents excessive confidence, ego, or a belief in one's invulnerability to governance mechanisms. It reflects the disposition of influential individuals who believe they are above accountability. An observable proxy for arrogance is the frequency or prominence of CEO profile pictures in annual reports. Narcissistic traits and self-promotional tendencies may drive CEOs who frequently display their image in corporate disclosures—factors associated with unethical decision-making and misreporting </w:t>
      </w:r>
      <w:r w:rsidR="00D7700E" w:rsidRPr="000C62D7">
        <w:rPr>
          <w:rFonts w:ascii="Calibri" w:hAnsi="Calibri" w:cs="Calibri"/>
          <w:color w:val="0E101A"/>
          <w:sz w:val="22"/>
        </w:rPr>
        <w:t>(</w:t>
      </w:r>
      <w:hyperlink w:anchor="Hidayah" w:history="1">
        <w:r w:rsidR="00D7700E" w:rsidRPr="000C62D7">
          <w:rPr>
            <w:rStyle w:val="Hyperlink"/>
            <w:rFonts w:ascii="Calibri" w:hAnsi="Calibri" w:cs="Calibri"/>
            <w:sz w:val="22"/>
            <w:u w:val="none"/>
          </w:rPr>
          <w:t>Hidayah et al., 2019</w:t>
        </w:r>
      </w:hyperlink>
      <w:r w:rsidR="00D7700E" w:rsidRPr="000C62D7">
        <w:rPr>
          <w:rFonts w:ascii="Calibri" w:hAnsi="Calibri" w:cs="Calibri"/>
          <w:color w:val="0E101A"/>
          <w:sz w:val="22"/>
        </w:rPr>
        <w:t xml:space="preserve">; </w:t>
      </w:r>
      <w:hyperlink w:anchor="Farida" w:history="1">
        <w:proofErr w:type="spellStart"/>
        <w:r w:rsidR="00D7700E" w:rsidRPr="000C62D7">
          <w:rPr>
            <w:rStyle w:val="Hyperlink"/>
            <w:rFonts w:ascii="Calibri" w:hAnsi="Calibri" w:cs="Calibri"/>
            <w:sz w:val="22"/>
            <w:u w:val="none"/>
          </w:rPr>
          <w:t>Maryadi</w:t>
        </w:r>
        <w:proofErr w:type="spellEnd"/>
        <w:r w:rsidR="00D7700E" w:rsidRPr="000C62D7">
          <w:rPr>
            <w:rStyle w:val="Hyperlink"/>
            <w:rFonts w:ascii="Calibri" w:hAnsi="Calibri" w:cs="Calibri"/>
            <w:sz w:val="22"/>
            <w:u w:val="none"/>
          </w:rPr>
          <w:t xml:space="preserve"> et al. </w:t>
        </w:r>
        <w:r w:rsidRPr="000C62D7">
          <w:rPr>
            <w:rStyle w:val="Hyperlink"/>
            <w:rFonts w:ascii="Calibri" w:hAnsi="Calibri" w:cs="Calibri"/>
            <w:sz w:val="22"/>
            <w:u w:val="none"/>
          </w:rPr>
          <w:t>2020</w:t>
        </w:r>
      </w:hyperlink>
      <w:r w:rsidRPr="000C62D7">
        <w:rPr>
          <w:rFonts w:ascii="Calibri" w:hAnsi="Calibri" w:cs="Calibri"/>
          <w:color w:val="0E101A"/>
          <w:sz w:val="22"/>
        </w:rPr>
        <w:t xml:space="preserve">). Research by </w:t>
      </w:r>
      <w:hyperlink w:anchor="BudiYanti" w:history="1">
        <w:r w:rsidRPr="000C62D7">
          <w:rPr>
            <w:rStyle w:val="Hyperlink"/>
            <w:rFonts w:ascii="Calibri" w:hAnsi="Calibri" w:cs="Calibri"/>
            <w:sz w:val="22"/>
            <w:u w:val="none"/>
          </w:rPr>
          <w:t>Budi Yanti et al. (2023)</w:t>
        </w:r>
      </w:hyperlink>
      <w:r w:rsidRPr="000C62D7">
        <w:rPr>
          <w:rFonts w:ascii="Calibri" w:hAnsi="Calibri" w:cs="Calibri"/>
          <w:color w:val="0E101A"/>
          <w:sz w:val="22"/>
        </w:rPr>
        <w:t xml:space="preserve"> and </w:t>
      </w:r>
      <w:hyperlink w:anchor="Gansui" w:history="1">
        <w:r w:rsidRPr="000C62D7">
          <w:rPr>
            <w:rStyle w:val="Hyperlink"/>
            <w:rFonts w:ascii="Calibri" w:hAnsi="Calibri" w:cs="Calibri"/>
            <w:sz w:val="22"/>
            <w:u w:val="none"/>
          </w:rPr>
          <w:t>Gansui et al. (2023)</w:t>
        </w:r>
      </w:hyperlink>
      <w:r w:rsidRPr="000C62D7">
        <w:rPr>
          <w:rFonts w:ascii="Calibri" w:hAnsi="Calibri" w:cs="Calibri"/>
          <w:color w:val="0E101A"/>
          <w:sz w:val="22"/>
        </w:rPr>
        <w:t xml:space="preserve"> supports this perspective, revealing a positive relationship between the visual dominance of CEOs in public documents and the likelihood of financial statement fraud.</w:t>
      </w:r>
    </w:p>
    <w:p w14:paraId="1019C837" w14:textId="5F73DC0E" w:rsidR="007A335A" w:rsidRPr="000C62D7" w:rsidRDefault="0028169A" w:rsidP="0028169A">
      <w:pPr>
        <w:ind w:left="0" w:hanging="2"/>
        <w:jc w:val="both"/>
        <w:rPr>
          <w:rFonts w:ascii="Calibri" w:hAnsi="Calibri" w:cs="Calibri"/>
          <w:color w:val="0E101A"/>
          <w:sz w:val="22"/>
        </w:rPr>
      </w:pPr>
      <w:r w:rsidRPr="000C62D7">
        <w:rPr>
          <w:rFonts w:ascii="Calibri" w:hAnsi="Calibri" w:cs="Calibri"/>
          <w:b/>
          <w:bCs/>
          <w:color w:val="0E101A"/>
          <w:sz w:val="22"/>
        </w:rPr>
        <w:t>H5:</w:t>
      </w:r>
      <w:r w:rsidRPr="000C62D7">
        <w:rPr>
          <w:rFonts w:ascii="Calibri" w:hAnsi="Calibri" w:cs="Calibri"/>
          <w:color w:val="0E101A"/>
          <w:sz w:val="22"/>
        </w:rPr>
        <w:t xml:space="preserve"> </w:t>
      </w:r>
      <w:r w:rsidRPr="000C62D7">
        <w:rPr>
          <w:rFonts w:ascii="Calibri" w:hAnsi="Calibri" w:cs="Calibri"/>
          <w:i/>
          <w:iCs/>
          <w:color w:val="0E101A"/>
          <w:sz w:val="22"/>
        </w:rPr>
        <w:t>CEO profile picture has a positive effect on financial statement fraud.</w:t>
      </w:r>
    </w:p>
    <w:p w14:paraId="3E203032" w14:textId="33B6BB25" w:rsidR="002D10FB" w:rsidRPr="000C62D7" w:rsidRDefault="002D10FB" w:rsidP="004200F8">
      <w:pPr>
        <w:pStyle w:val="BalloonText"/>
        <w:ind w:left="1" w:hanging="3"/>
        <w:jc w:val="both"/>
        <w:rPr>
          <w:sz w:val="28"/>
          <w:szCs w:val="28"/>
        </w:rPr>
      </w:pPr>
    </w:p>
    <w:p w14:paraId="5E78E647" w14:textId="15E1C38B" w:rsidR="002B03C3" w:rsidRPr="000C62D7" w:rsidRDefault="009D3759" w:rsidP="009C0CFD">
      <w:pPr>
        <w:spacing w:line="240" w:lineRule="auto"/>
        <w:ind w:leftChars="0" w:left="0" w:firstLineChars="0" w:hanging="2"/>
        <w:rPr>
          <w:rFonts w:ascii="Garamond" w:hAnsi="Garamond" w:cs="Calibri"/>
          <w:b/>
          <w:color w:val="000000"/>
          <w:sz w:val="28"/>
          <w:szCs w:val="28"/>
        </w:rPr>
      </w:pPr>
      <w:r w:rsidRPr="000C62D7">
        <w:rPr>
          <w:rFonts w:ascii="Garamond" w:hAnsi="Garamond" w:cs="Calibri"/>
          <w:b/>
          <w:color w:val="000000"/>
          <w:sz w:val="28"/>
          <w:szCs w:val="28"/>
        </w:rPr>
        <w:t>Methods</w:t>
      </w:r>
    </w:p>
    <w:p w14:paraId="787EDA14" w14:textId="4C2D9FCA" w:rsidR="00B36957" w:rsidRPr="000C62D7" w:rsidRDefault="00B36957" w:rsidP="008C6C51">
      <w:pPr>
        <w:spacing w:line="240" w:lineRule="auto"/>
        <w:ind w:leftChars="0" w:left="0" w:firstLineChars="0" w:firstLine="0"/>
        <w:jc w:val="both"/>
        <w:rPr>
          <w:rFonts w:ascii="Calibri" w:hAnsi="Calibri" w:cs="Calibri"/>
          <w:sz w:val="22"/>
        </w:rPr>
      </w:pPr>
    </w:p>
    <w:p w14:paraId="7856023B" w14:textId="28B80F45" w:rsidR="004200F8" w:rsidRPr="000C62D7" w:rsidRDefault="004200F8" w:rsidP="004200F8">
      <w:pPr>
        <w:spacing w:line="240" w:lineRule="auto"/>
        <w:ind w:leftChars="0" w:firstLineChars="0" w:firstLine="0"/>
        <w:jc w:val="both"/>
        <w:rPr>
          <w:rFonts w:ascii="Calibri" w:hAnsi="Calibri" w:cs="Calibri"/>
          <w:sz w:val="22"/>
        </w:rPr>
      </w:pPr>
      <w:r w:rsidRPr="000C62D7">
        <w:rPr>
          <w:rFonts w:ascii="Calibri" w:hAnsi="Calibri" w:cs="Calibri"/>
          <w:sz w:val="22"/>
        </w:rPr>
        <w:t>This study adopts a quantitative approach with a descriptive-verificative research design to examine the determinants of financial statement fraud in Indonesian state-owned enterprises (SOEs). The research utilizes secondary data collected through purposive sampling, drawing from publicly available annual reports published on the official websites of the respective companies and the Indonesia Stock Exchange (IDX). The observation period spans five fiscal years, from 2019 to 2023. Companies were selected based on specific criteria, including the completeness of annual report disclosures, the availability of relevant variables, and continuous listing status during the observation period.</w:t>
      </w:r>
    </w:p>
    <w:p w14:paraId="382EA554" w14:textId="77777777" w:rsidR="004200F8" w:rsidRPr="000C62D7" w:rsidRDefault="004200F8" w:rsidP="004200F8">
      <w:pPr>
        <w:spacing w:line="240" w:lineRule="auto"/>
        <w:ind w:leftChars="0" w:firstLineChars="0" w:firstLine="0"/>
        <w:jc w:val="both"/>
        <w:rPr>
          <w:rFonts w:ascii="Calibri" w:hAnsi="Calibri" w:cs="Calibri"/>
          <w:sz w:val="22"/>
        </w:rPr>
      </w:pPr>
    </w:p>
    <w:p w14:paraId="0D57F64E" w14:textId="524316CB" w:rsidR="004200F8" w:rsidRPr="000C62D7" w:rsidRDefault="004200F8" w:rsidP="004200F8">
      <w:pPr>
        <w:spacing w:line="240" w:lineRule="auto"/>
        <w:ind w:leftChars="0" w:left="0" w:firstLineChars="0" w:firstLine="0"/>
        <w:jc w:val="both"/>
        <w:rPr>
          <w:rFonts w:ascii="Calibri" w:hAnsi="Calibri" w:cs="Calibri"/>
          <w:sz w:val="22"/>
        </w:rPr>
      </w:pPr>
      <w:r w:rsidRPr="000C62D7">
        <w:rPr>
          <w:rFonts w:ascii="Calibri" w:hAnsi="Calibri" w:cs="Calibri"/>
          <w:sz w:val="22"/>
        </w:rPr>
        <w:t xml:space="preserve">Data analysis combines descriptive and inferential statistical techniques. The study employs panel data regression to examine the relationships between variables across both cross-sectional and time-series dimensions. Data were processed using EViews 12 software to ensure the robustness and reliability of the estimations. The dependent variable, financial statement fraud, is measured using the F-Score model introduced by </w:t>
      </w:r>
      <w:hyperlink w:anchor="Dechow" w:history="1">
        <w:r w:rsidRPr="000C62D7">
          <w:rPr>
            <w:rStyle w:val="Hyperlink"/>
            <w:rFonts w:ascii="Calibri" w:hAnsi="Calibri" w:cs="Calibri"/>
            <w:sz w:val="22"/>
            <w:u w:val="none"/>
          </w:rPr>
          <w:t>Dechow et al. (2011)</w:t>
        </w:r>
      </w:hyperlink>
      <w:r w:rsidRPr="000C62D7">
        <w:rPr>
          <w:rFonts w:ascii="Calibri" w:hAnsi="Calibri" w:cs="Calibri"/>
          <w:sz w:val="22"/>
        </w:rPr>
        <w:t>, which integrates accrual quality and financial performance indicators to estimate the likelihood of earnings manipulation. This model has been widely applied in empirical fraud detection studies due to its predictive validity and ability to capture subtle distortions in reported earnings.</w:t>
      </w:r>
    </w:p>
    <w:p w14:paraId="714A731D" w14:textId="502F0A02" w:rsidR="004200F8" w:rsidRPr="000C62D7" w:rsidRDefault="004200F8" w:rsidP="004200F8">
      <w:pPr>
        <w:spacing w:line="240" w:lineRule="auto"/>
        <w:ind w:leftChars="0" w:left="0" w:firstLineChars="0" w:firstLine="0"/>
        <w:jc w:val="both"/>
        <w:rPr>
          <w:rFonts w:ascii="Calibri" w:hAnsi="Calibri" w:cs="Calibri"/>
          <w:sz w:val="22"/>
        </w:rPr>
      </w:pPr>
    </w:p>
    <w:p w14:paraId="379FCCEA" w14:textId="3ACD34DD" w:rsidR="004200F8" w:rsidRPr="000C62D7" w:rsidRDefault="004200F8" w:rsidP="004200F8">
      <w:pPr>
        <w:spacing w:line="240" w:lineRule="auto"/>
        <w:ind w:leftChars="0" w:left="0" w:firstLineChars="0" w:firstLine="0"/>
        <w:rPr>
          <w:rFonts w:ascii="Calibri" w:hAnsi="Calibri" w:cs="Calibri"/>
          <w:sz w:val="22"/>
        </w:rPr>
      </w:pPr>
      <w:r w:rsidRPr="000C62D7">
        <w:rPr>
          <w:rFonts w:ascii="Calibri" w:hAnsi="Calibri" w:cs="Calibri"/>
          <w:sz w:val="22"/>
        </w:rPr>
        <w:lastRenderedPageBreak/>
        <w:t>Table 1. Variable measurement</w:t>
      </w:r>
    </w:p>
    <w:tbl>
      <w:tblPr>
        <w:tblW w:w="8075" w:type="dxa"/>
        <w:tblLayout w:type="fixed"/>
        <w:tblLook w:val="0400" w:firstRow="0" w:lastRow="0" w:firstColumn="0" w:lastColumn="0" w:noHBand="0" w:noVBand="1"/>
      </w:tblPr>
      <w:tblGrid>
        <w:gridCol w:w="1838"/>
        <w:gridCol w:w="1134"/>
        <w:gridCol w:w="5103"/>
      </w:tblGrid>
      <w:tr w:rsidR="004200F8" w:rsidRPr="000C62D7" w14:paraId="5F50A600" w14:textId="77777777" w:rsidTr="00120B44">
        <w:trPr>
          <w:trHeight w:val="283"/>
        </w:trPr>
        <w:tc>
          <w:tcPr>
            <w:tcW w:w="1838" w:type="dxa"/>
            <w:tcBorders>
              <w:top w:val="single" w:sz="4" w:space="0" w:color="auto"/>
              <w:bottom w:val="single" w:sz="4" w:space="0" w:color="auto"/>
            </w:tcBorders>
          </w:tcPr>
          <w:p w14:paraId="4CD2E7BA" w14:textId="77777777" w:rsidR="004200F8" w:rsidRPr="000C62D7" w:rsidRDefault="004200F8" w:rsidP="004D6359">
            <w:pPr>
              <w:ind w:left="0" w:hanging="2"/>
              <w:rPr>
                <w:rFonts w:ascii="Calibri" w:eastAsia="Times New Roman" w:hAnsi="Calibri" w:cs="Calibri"/>
                <w:b/>
                <w:szCs w:val="20"/>
              </w:rPr>
            </w:pPr>
            <w:r w:rsidRPr="000C62D7">
              <w:rPr>
                <w:rFonts w:ascii="Calibri" w:eastAsia="Times New Roman" w:hAnsi="Calibri" w:cs="Calibri"/>
                <w:b/>
                <w:szCs w:val="20"/>
              </w:rPr>
              <w:t>Variable</w:t>
            </w:r>
          </w:p>
        </w:tc>
        <w:tc>
          <w:tcPr>
            <w:tcW w:w="1134" w:type="dxa"/>
            <w:tcBorders>
              <w:top w:val="single" w:sz="4" w:space="0" w:color="auto"/>
              <w:bottom w:val="single" w:sz="4" w:space="0" w:color="auto"/>
            </w:tcBorders>
          </w:tcPr>
          <w:p w14:paraId="5210A083" w14:textId="77777777" w:rsidR="004200F8" w:rsidRPr="000C62D7" w:rsidRDefault="004200F8" w:rsidP="004D6359">
            <w:pPr>
              <w:ind w:left="0" w:hanging="2"/>
              <w:rPr>
                <w:rFonts w:ascii="Calibri" w:eastAsia="Times New Roman" w:hAnsi="Calibri" w:cs="Calibri"/>
                <w:b/>
                <w:szCs w:val="20"/>
              </w:rPr>
            </w:pPr>
            <w:r w:rsidRPr="000C62D7">
              <w:rPr>
                <w:rFonts w:ascii="Calibri" w:eastAsia="Times New Roman" w:hAnsi="Calibri" w:cs="Calibri"/>
                <w:b/>
                <w:szCs w:val="20"/>
              </w:rPr>
              <w:t>code</w:t>
            </w:r>
          </w:p>
        </w:tc>
        <w:tc>
          <w:tcPr>
            <w:tcW w:w="5103" w:type="dxa"/>
            <w:tcBorders>
              <w:top w:val="single" w:sz="4" w:space="0" w:color="auto"/>
              <w:bottom w:val="single" w:sz="4" w:space="0" w:color="auto"/>
            </w:tcBorders>
          </w:tcPr>
          <w:p w14:paraId="62EAA88A" w14:textId="77777777" w:rsidR="004200F8" w:rsidRPr="000C62D7" w:rsidRDefault="004200F8" w:rsidP="004D6359">
            <w:pPr>
              <w:ind w:left="0" w:hanging="2"/>
              <w:rPr>
                <w:rFonts w:ascii="Calibri" w:eastAsia="Times New Roman" w:hAnsi="Calibri" w:cs="Calibri"/>
                <w:b/>
                <w:szCs w:val="20"/>
              </w:rPr>
            </w:pPr>
            <w:r w:rsidRPr="000C62D7">
              <w:rPr>
                <w:rFonts w:ascii="Calibri" w:eastAsia="Times New Roman" w:hAnsi="Calibri" w:cs="Calibri"/>
                <w:b/>
                <w:szCs w:val="20"/>
              </w:rPr>
              <w:t>Measurement</w:t>
            </w:r>
          </w:p>
        </w:tc>
      </w:tr>
      <w:tr w:rsidR="004200F8" w:rsidRPr="000C62D7" w14:paraId="1305083C" w14:textId="77777777" w:rsidTr="00120B44">
        <w:trPr>
          <w:trHeight w:val="283"/>
        </w:trPr>
        <w:tc>
          <w:tcPr>
            <w:tcW w:w="8075" w:type="dxa"/>
            <w:gridSpan w:val="3"/>
            <w:tcBorders>
              <w:top w:val="single" w:sz="4" w:space="0" w:color="auto"/>
              <w:bottom w:val="single" w:sz="4" w:space="0" w:color="auto"/>
            </w:tcBorders>
          </w:tcPr>
          <w:p w14:paraId="33FD2F1C" w14:textId="77777777" w:rsidR="004200F8" w:rsidRPr="000C62D7" w:rsidRDefault="004200F8" w:rsidP="004D6359">
            <w:pPr>
              <w:ind w:left="0" w:hanging="2"/>
              <w:rPr>
                <w:rFonts w:ascii="Calibri" w:eastAsia="Times New Roman" w:hAnsi="Calibri" w:cs="Calibri"/>
                <w:b/>
                <w:szCs w:val="20"/>
              </w:rPr>
            </w:pPr>
            <w:r w:rsidRPr="000C62D7">
              <w:rPr>
                <w:rFonts w:ascii="Calibri" w:eastAsia="Times New Roman" w:hAnsi="Calibri" w:cs="Calibri"/>
                <w:b/>
                <w:szCs w:val="20"/>
              </w:rPr>
              <w:t>Dependent Variable</w:t>
            </w:r>
          </w:p>
        </w:tc>
      </w:tr>
      <w:tr w:rsidR="004200F8" w:rsidRPr="000C62D7" w14:paraId="51C8143D" w14:textId="77777777" w:rsidTr="005C5F15">
        <w:trPr>
          <w:trHeight w:val="20"/>
        </w:trPr>
        <w:tc>
          <w:tcPr>
            <w:tcW w:w="1838" w:type="dxa"/>
            <w:tcBorders>
              <w:top w:val="single" w:sz="4" w:space="0" w:color="auto"/>
              <w:bottom w:val="single" w:sz="4" w:space="0" w:color="auto"/>
            </w:tcBorders>
          </w:tcPr>
          <w:p w14:paraId="4319AF14" w14:textId="77777777" w:rsidR="004200F8" w:rsidRPr="000C62D7" w:rsidRDefault="004200F8" w:rsidP="004D6359">
            <w:pPr>
              <w:ind w:left="0" w:hanging="2"/>
              <w:jc w:val="both"/>
              <w:rPr>
                <w:rFonts w:ascii="Calibri" w:eastAsia="Times New Roman" w:hAnsi="Calibri" w:cs="Calibri"/>
                <w:szCs w:val="20"/>
              </w:rPr>
            </w:pPr>
            <w:r w:rsidRPr="000C62D7">
              <w:rPr>
                <w:rFonts w:ascii="Calibri" w:eastAsia="Times New Roman" w:hAnsi="Calibri" w:cs="Calibri"/>
                <w:i/>
                <w:szCs w:val="20"/>
              </w:rPr>
              <w:t xml:space="preserve">Financial </w:t>
            </w:r>
            <w:r w:rsidRPr="000C62D7">
              <w:rPr>
                <w:rFonts w:ascii="Calibri" w:eastAsia="Times New Roman" w:hAnsi="Calibri" w:cs="Calibri"/>
                <w:szCs w:val="20"/>
              </w:rPr>
              <w:t>Statement Fraud</w:t>
            </w:r>
          </w:p>
        </w:tc>
        <w:tc>
          <w:tcPr>
            <w:tcW w:w="1134" w:type="dxa"/>
            <w:tcBorders>
              <w:top w:val="single" w:sz="4" w:space="0" w:color="auto"/>
              <w:bottom w:val="single" w:sz="4" w:space="0" w:color="auto"/>
            </w:tcBorders>
          </w:tcPr>
          <w:p w14:paraId="4B5E5E78" w14:textId="77777777" w:rsidR="004200F8" w:rsidRPr="000C62D7" w:rsidRDefault="004200F8" w:rsidP="004D6359">
            <w:pPr>
              <w:ind w:left="0" w:hanging="2"/>
              <w:rPr>
                <w:rFonts w:ascii="Calibri" w:eastAsia="Times New Roman" w:hAnsi="Calibri" w:cs="Calibri"/>
                <w:szCs w:val="20"/>
              </w:rPr>
            </w:pPr>
            <w:r w:rsidRPr="000C62D7">
              <w:rPr>
                <w:rFonts w:ascii="Calibri" w:eastAsia="Times New Roman" w:hAnsi="Calibri" w:cs="Calibri"/>
                <w:szCs w:val="20"/>
              </w:rPr>
              <w:t>FLK</w:t>
            </w:r>
          </w:p>
        </w:tc>
        <w:tc>
          <w:tcPr>
            <w:tcW w:w="5103" w:type="dxa"/>
            <w:tcBorders>
              <w:top w:val="single" w:sz="4" w:space="0" w:color="auto"/>
              <w:bottom w:val="single" w:sz="4" w:space="0" w:color="auto"/>
            </w:tcBorders>
          </w:tcPr>
          <w:p w14:paraId="7E5AF104" w14:textId="77777777" w:rsidR="004200F8" w:rsidRPr="000C62D7" w:rsidRDefault="004200F8" w:rsidP="005C5F15">
            <w:pPr>
              <w:spacing w:before="240" w:line="240" w:lineRule="auto"/>
              <w:ind w:left="0" w:hanging="2"/>
              <w:rPr>
                <w:rFonts w:ascii="Calibri" w:eastAsia="Cambria Math" w:hAnsi="Calibri" w:cs="Calibri"/>
                <w:szCs w:val="20"/>
              </w:rPr>
            </w:pPr>
            <m:oMathPara>
              <m:oMath>
                <m:r>
                  <w:rPr>
                    <w:rFonts w:ascii="Cambria Math" w:eastAsia="Cambria Math" w:hAnsi="Cambria Math" w:cs="Calibri"/>
                    <w:szCs w:val="20"/>
                  </w:rPr>
                  <m:t>F-Score =Accrual Quality+Financial Performance</m:t>
                </m:r>
              </m:oMath>
            </m:oMathPara>
          </w:p>
          <w:p w14:paraId="01DD14FA" w14:textId="77777777" w:rsidR="004200F8" w:rsidRPr="000C62D7" w:rsidRDefault="004200F8" w:rsidP="004D6359">
            <w:pPr>
              <w:ind w:left="0" w:hanging="2"/>
              <w:jc w:val="both"/>
              <w:rPr>
                <w:rFonts w:ascii="Calibri" w:eastAsia="Times New Roman" w:hAnsi="Calibri" w:cs="Calibri"/>
                <w:szCs w:val="20"/>
              </w:rPr>
            </w:pPr>
          </w:p>
          <w:p w14:paraId="197A6B4D" w14:textId="77777777" w:rsidR="004200F8" w:rsidRPr="000C62D7" w:rsidRDefault="004200F8" w:rsidP="004200F8">
            <w:pPr>
              <w:spacing w:line="480" w:lineRule="auto"/>
              <w:ind w:left="0" w:hanging="2"/>
              <w:rPr>
                <w:rFonts w:ascii="Calibri" w:eastAsia="Cambria Math" w:hAnsi="Calibri" w:cs="Calibri"/>
                <w:szCs w:val="20"/>
              </w:rPr>
            </w:pPr>
            <m:oMathPara>
              <m:oMath>
                <m:r>
                  <w:rPr>
                    <w:rFonts w:ascii="Cambria Math" w:eastAsia="Cambria Math" w:hAnsi="Cambria Math" w:cs="Calibri"/>
                    <w:szCs w:val="20"/>
                  </w:rPr>
                  <m:t>RSST Accrual =</m:t>
                </m:r>
                <m:f>
                  <m:fPr>
                    <m:ctrlPr>
                      <w:rPr>
                        <w:rFonts w:ascii="Cambria Math" w:eastAsia="Cambria Math" w:hAnsi="Cambria Math" w:cs="Calibri"/>
                        <w:szCs w:val="20"/>
                      </w:rPr>
                    </m:ctrlPr>
                  </m:fPr>
                  <m:num>
                    <m:r>
                      <w:rPr>
                        <w:rFonts w:ascii="Cambria Math" w:eastAsia="Cambria Math" w:hAnsi="Cambria Math" w:cs="Calibri"/>
                        <w:color w:val="000000"/>
                        <w:szCs w:val="20"/>
                      </w:rPr>
                      <m:t>ΔWC + ΔNCO + ΔFIN</m:t>
                    </m:r>
                    <m:r>
                      <w:rPr>
                        <w:rFonts w:ascii="Cambria Math" w:eastAsia="Cambria Math" w:hAnsi="Cambria Math" w:cs="Calibri"/>
                        <w:szCs w:val="20"/>
                      </w:rPr>
                      <m:t xml:space="preserve"> </m:t>
                    </m:r>
                  </m:num>
                  <m:den>
                    <m:r>
                      <w:rPr>
                        <w:rFonts w:ascii="Cambria Math" w:eastAsia="Cambria Math" w:hAnsi="Cambria Math" w:cs="Calibri"/>
                        <w:color w:val="000000"/>
                        <w:szCs w:val="20"/>
                      </w:rPr>
                      <m:t>Average Total Assets</m:t>
                    </m:r>
                    <m:r>
                      <w:rPr>
                        <w:rFonts w:ascii="Cambria Math" w:eastAsia="Cambria Math" w:hAnsi="Cambria Math" w:cs="Calibri"/>
                        <w:szCs w:val="20"/>
                      </w:rPr>
                      <m:t xml:space="preserve"> </m:t>
                    </m:r>
                  </m:den>
                </m:f>
              </m:oMath>
            </m:oMathPara>
          </w:p>
          <w:p w14:paraId="08733076" w14:textId="77777777" w:rsidR="004200F8" w:rsidRPr="000C62D7" w:rsidRDefault="004200F8" w:rsidP="004D6359">
            <w:pPr>
              <w:ind w:left="0" w:hanging="2"/>
              <w:jc w:val="both"/>
              <w:rPr>
                <w:rFonts w:ascii="Calibri" w:eastAsia="Times New Roman" w:hAnsi="Calibri" w:cs="Calibri"/>
                <w:szCs w:val="20"/>
              </w:rPr>
            </w:pPr>
          </w:p>
          <w:p w14:paraId="4616CDEC" w14:textId="77777777" w:rsidR="004200F8" w:rsidRPr="000C62D7" w:rsidRDefault="004200F8" w:rsidP="004D6359">
            <w:pPr>
              <w:ind w:left="0" w:hanging="2"/>
              <w:jc w:val="both"/>
              <w:rPr>
                <w:rFonts w:ascii="Calibri" w:eastAsia="Cambria Math" w:hAnsi="Calibri" w:cs="Calibri"/>
                <w:i/>
                <w:szCs w:val="20"/>
              </w:rPr>
            </w:pPr>
            <w:r w:rsidRPr="000C62D7">
              <w:rPr>
                <w:rFonts w:ascii="Calibri" w:eastAsia="Cambria Math" w:hAnsi="Calibri" w:cs="Calibri"/>
                <w:szCs w:val="20"/>
              </w:rPr>
              <w:t>(</w:t>
            </w:r>
            <w:r w:rsidRPr="000C62D7">
              <w:rPr>
                <w:rFonts w:ascii="Calibri" w:eastAsia="Cambria Math" w:hAnsi="Calibri" w:cs="Calibri"/>
                <w:i/>
                <w:szCs w:val="20"/>
              </w:rPr>
              <w:t>Working Capital) = (Current Assets – Cash Liability)</w:t>
            </w:r>
          </w:p>
          <w:p w14:paraId="73E6B345" w14:textId="77777777" w:rsidR="004200F8" w:rsidRPr="000C62D7" w:rsidRDefault="004200F8" w:rsidP="004D6359">
            <w:pPr>
              <w:ind w:left="0" w:hanging="2"/>
              <w:jc w:val="both"/>
              <w:rPr>
                <w:rFonts w:ascii="Calibri" w:eastAsia="Cambria Math" w:hAnsi="Calibri" w:cs="Calibri"/>
                <w:i/>
                <w:szCs w:val="20"/>
              </w:rPr>
            </w:pPr>
            <w:r w:rsidRPr="000C62D7">
              <w:rPr>
                <w:rFonts w:ascii="Calibri" w:eastAsia="Cambria Math" w:hAnsi="Calibri" w:cs="Calibri"/>
                <w:i/>
                <w:szCs w:val="20"/>
              </w:rPr>
              <w:t>NCO (</w:t>
            </w:r>
            <w:proofErr w:type="spellStart"/>
            <w:proofErr w:type="gramStart"/>
            <w:r w:rsidRPr="000C62D7">
              <w:rPr>
                <w:rFonts w:ascii="Calibri" w:eastAsia="Cambria Math" w:hAnsi="Calibri" w:cs="Calibri"/>
                <w:i/>
                <w:szCs w:val="20"/>
              </w:rPr>
              <w:t>Non Current</w:t>
            </w:r>
            <w:proofErr w:type="spellEnd"/>
            <w:proofErr w:type="gramEnd"/>
            <w:r w:rsidRPr="000C62D7">
              <w:rPr>
                <w:rFonts w:ascii="Calibri" w:eastAsia="Cambria Math" w:hAnsi="Calibri" w:cs="Calibri"/>
                <w:i/>
                <w:szCs w:val="20"/>
              </w:rPr>
              <w:t xml:space="preserve"> Operating) = (Total assets – Current Assets – Investment and advances) – (Total liabilities – Current liabilities – Long term debt)</w:t>
            </w:r>
          </w:p>
          <w:p w14:paraId="7478446A" w14:textId="4A52B309" w:rsidR="004200F8" w:rsidRPr="000C62D7" w:rsidRDefault="004200F8" w:rsidP="004D6359">
            <w:pPr>
              <w:ind w:left="0" w:hanging="2"/>
              <w:jc w:val="both"/>
              <w:rPr>
                <w:rFonts w:ascii="Calibri" w:eastAsia="Cambria Math" w:hAnsi="Calibri" w:cs="Calibri"/>
                <w:i/>
                <w:szCs w:val="20"/>
              </w:rPr>
            </w:pPr>
            <w:r w:rsidRPr="000C62D7">
              <w:rPr>
                <w:rFonts w:ascii="Calibri" w:eastAsia="Cambria Math" w:hAnsi="Calibri" w:cs="Calibri"/>
                <w:i/>
                <w:szCs w:val="20"/>
              </w:rPr>
              <w:t>FIN (Financial Accrual = (Total Investm</w:t>
            </w:r>
            <w:r w:rsidR="0013488D" w:rsidRPr="000C62D7">
              <w:rPr>
                <w:rFonts w:ascii="Calibri" w:eastAsia="Cambria Math" w:hAnsi="Calibri" w:cs="Calibri"/>
                <w:i/>
                <w:szCs w:val="20"/>
              </w:rPr>
              <w:t>en</w:t>
            </w:r>
            <w:r w:rsidRPr="000C62D7">
              <w:rPr>
                <w:rFonts w:ascii="Calibri" w:eastAsia="Cambria Math" w:hAnsi="Calibri" w:cs="Calibri"/>
                <w:i/>
                <w:szCs w:val="20"/>
              </w:rPr>
              <w:t>t – Total Liabilities)</w:t>
            </w:r>
          </w:p>
          <w:p w14:paraId="44E59B81" w14:textId="77777777" w:rsidR="004200F8" w:rsidRPr="000C62D7" w:rsidRDefault="004200F8" w:rsidP="004D6359">
            <w:pPr>
              <w:ind w:left="0" w:hanging="2"/>
              <w:jc w:val="both"/>
              <w:rPr>
                <w:rFonts w:ascii="Calibri" w:eastAsia="Cambria Math" w:hAnsi="Calibri" w:cs="Calibri"/>
                <w:i/>
                <w:szCs w:val="20"/>
              </w:rPr>
            </w:pPr>
            <w:r w:rsidRPr="000C62D7">
              <w:rPr>
                <w:rFonts w:ascii="Calibri" w:eastAsia="Cambria Math" w:hAnsi="Calibri" w:cs="Calibri"/>
                <w:i/>
                <w:szCs w:val="20"/>
              </w:rPr>
              <w:t>Average Total assets = (Beginning Total Assets + End Total Assets)/2</w:t>
            </w:r>
          </w:p>
          <w:p w14:paraId="378B8D97" w14:textId="77777777" w:rsidR="004200F8" w:rsidRPr="000C62D7" w:rsidRDefault="004200F8" w:rsidP="004D6359">
            <w:pPr>
              <w:ind w:left="0" w:hanging="2"/>
              <w:jc w:val="both"/>
              <w:rPr>
                <w:rFonts w:ascii="Calibri" w:eastAsia="Times New Roman" w:hAnsi="Calibri" w:cs="Calibri"/>
                <w:szCs w:val="20"/>
              </w:rPr>
            </w:pPr>
          </w:p>
          <w:p w14:paraId="7FC398A4" w14:textId="77777777" w:rsidR="004200F8" w:rsidRPr="000C62D7" w:rsidRDefault="004200F8" w:rsidP="004D6359">
            <w:pPr>
              <w:ind w:left="0" w:hanging="2"/>
              <w:jc w:val="both"/>
              <w:rPr>
                <w:rFonts w:ascii="Calibri" w:eastAsia="Times New Roman" w:hAnsi="Calibri" w:cs="Calibri"/>
                <w:szCs w:val="20"/>
              </w:rPr>
            </w:pPr>
            <w:r w:rsidRPr="000C62D7">
              <w:rPr>
                <w:rFonts w:ascii="Calibri" w:eastAsia="Times New Roman" w:hAnsi="Calibri" w:cs="Calibri"/>
                <w:szCs w:val="20"/>
              </w:rPr>
              <w:t xml:space="preserve">Financial performance = </w:t>
            </w:r>
            <w:r w:rsidRPr="000C62D7">
              <w:rPr>
                <w:rFonts w:ascii="Calibri" w:eastAsia="Times New Roman" w:hAnsi="Calibri" w:cs="Calibri"/>
                <w:i/>
                <w:szCs w:val="20"/>
              </w:rPr>
              <w:t>change in receivable</w:t>
            </w:r>
            <w:r w:rsidRPr="000C62D7">
              <w:rPr>
                <w:rFonts w:ascii="Calibri" w:eastAsia="Times New Roman" w:hAnsi="Calibri" w:cs="Calibri"/>
                <w:szCs w:val="20"/>
              </w:rPr>
              <w:t xml:space="preserve"> + </w:t>
            </w:r>
            <w:r w:rsidRPr="000C62D7">
              <w:rPr>
                <w:rFonts w:ascii="Calibri" w:eastAsia="Times New Roman" w:hAnsi="Calibri" w:cs="Calibri"/>
                <w:i/>
                <w:szCs w:val="20"/>
              </w:rPr>
              <w:t>change in inventories</w:t>
            </w:r>
            <w:r w:rsidRPr="000C62D7">
              <w:rPr>
                <w:rFonts w:ascii="Calibri" w:eastAsia="Times New Roman" w:hAnsi="Calibri" w:cs="Calibri"/>
                <w:szCs w:val="20"/>
              </w:rPr>
              <w:t xml:space="preserve"> + </w:t>
            </w:r>
            <w:r w:rsidRPr="000C62D7">
              <w:rPr>
                <w:rFonts w:ascii="Calibri" w:eastAsia="Times New Roman" w:hAnsi="Calibri" w:cs="Calibri"/>
                <w:i/>
                <w:szCs w:val="20"/>
              </w:rPr>
              <w:t>change in cash sales</w:t>
            </w:r>
            <w:r w:rsidRPr="000C62D7">
              <w:rPr>
                <w:rFonts w:ascii="Calibri" w:eastAsia="Times New Roman" w:hAnsi="Calibri" w:cs="Calibri"/>
                <w:szCs w:val="20"/>
              </w:rPr>
              <w:t xml:space="preserve"> + </w:t>
            </w:r>
            <w:r w:rsidRPr="000C62D7">
              <w:rPr>
                <w:rFonts w:ascii="Calibri" w:eastAsia="Times New Roman" w:hAnsi="Calibri" w:cs="Calibri"/>
                <w:i/>
                <w:szCs w:val="20"/>
              </w:rPr>
              <w:t>change in earnings</w:t>
            </w:r>
          </w:p>
          <w:p w14:paraId="0DC3D407" w14:textId="77777777" w:rsidR="004200F8" w:rsidRPr="000C62D7" w:rsidRDefault="004200F8" w:rsidP="004200F8">
            <w:pPr>
              <w:spacing w:line="480" w:lineRule="auto"/>
              <w:ind w:left="0" w:hanging="2"/>
              <w:rPr>
                <w:rFonts w:ascii="Calibri" w:eastAsia="Cambria Math" w:hAnsi="Calibri" w:cs="Calibri"/>
                <w:szCs w:val="20"/>
              </w:rPr>
            </w:pPr>
            <m:oMathPara>
              <m:oMath>
                <m:r>
                  <w:rPr>
                    <w:rFonts w:ascii="Cambria Math" w:eastAsia="Cambria Math" w:hAnsi="Cambria Math" w:cs="Calibri"/>
                    <w:szCs w:val="20"/>
                  </w:rPr>
                  <m:t>Change in receivables  =</m:t>
                </m:r>
                <m:f>
                  <m:fPr>
                    <m:ctrlPr>
                      <w:rPr>
                        <w:rFonts w:ascii="Cambria Math" w:eastAsia="Cambria Math" w:hAnsi="Cambria Math" w:cs="Calibri"/>
                        <w:szCs w:val="20"/>
                      </w:rPr>
                    </m:ctrlPr>
                  </m:fPr>
                  <m:num>
                    <m:r>
                      <w:rPr>
                        <w:rFonts w:ascii="Cambria Math" w:eastAsia="Cambria Math" w:hAnsi="Cambria Math" w:cs="Calibri"/>
                        <w:szCs w:val="20"/>
                      </w:rPr>
                      <m:t>∆Receivables</m:t>
                    </m:r>
                  </m:num>
                  <m:den>
                    <m:r>
                      <w:rPr>
                        <w:rFonts w:ascii="Cambria Math" w:eastAsia="Cambria Math" w:hAnsi="Cambria Math" w:cs="Calibri"/>
                        <w:szCs w:val="20"/>
                      </w:rPr>
                      <m:t xml:space="preserve">Average Total Assets </m:t>
                    </m:r>
                  </m:den>
                </m:f>
              </m:oMath>
            </m:oMathPara>
          </w:p>
          <w:p w14:paraId="2CA9BB2E" w14:textId="77777777" w:rsidR="004200F8" w:rsidRPr="000C62D7" w:rsidRDefault="004200F8" w:rsidP="004200F8">
            <w:pPr>
              <w:spacing w:line="480" w:lineRule="auto"/>
              <w:ind w:left="0" w:hanging="2"/>
              <w:rPr>
                <w:rFonts w:ascii="Calibri" w:eastAsia="Cambria Math" w:hAnsi="Calibri" w:cs="Calibri"/>
                <w:szCs w:val="20"/>
              </w:rPr>
            </w:pPr>
            <m:oMathPara>
              <m:oMath>
                <m:r>
                  <w:rPr>
                    <w:rFonts w:ascii="Cambria Math" w:eastAsia="Cambria Math" w:hAnsi="Cambria Math" w:cs="Calibri"/>
                    <w:szCs w:val="20"/>
                  </w:rPr>
                  <m:t>Change in inventories  =</m:t>
                </m:r>
                <m:f>
                  <m:fPr>
                    <m:ctrlPr>
                      <w:rPr>
                        <w:rFonts w:ascii="Cambria Math" w:eastAsia="Cambria Math" w:hAnsi="Cambria Math" w:cs="Calibri"/>
                        <w:szCs w:val="20"/>
                      </w:rPr>
                    </m:ctrlPr>
                  </m:fPr>
                  <m:num>
                    <m:r>
                      <w:rPr>
                        <w:rFonts w:ascii="Cambria Math" w:eastAsia="Cambria Math" w:hAnsi="Cambria Math" w:cs="Calibri"/>
                        <w:szCs w:val="20"/>
                      </w:rPr>
                      <m:t>∆inventories</m:t>
                    </m:r>
                  </m:num>
                  <m:den>
                    <m:r>
                      <w:rPr>
                        <w:rFonts w:ascii="Cambria Math" w:eastAsia="Cambria Math" w:hAnsi="Cambria Math" w:cs="Calibri"/>
                        <w:szCs w:val="20"/>
                      </w:rPr>
                      <m:t xml:space="preserve">Average Total Assets </m:t>
                    </m:r>
                  </m:den>
                </m:f>
              </m:oMath>
            </m:oMathPara>
          </w:p>
          <w:p w14:paraId="067E94C1" w14:textId="77777777" w:rsidR="004200F8" w:rsidRPr="000C62D7" w:rsidRDefault="004200F8" w:rsidP="004200F8">
            <w:pPr>
              <w:spacing w:line="480" w:lineRule="auto"/>
              <w:ind w:left="0" w:hanging="2"/>
              <w:rPr>
                <w:rFonts w:ascii="Calibri" w:eastAsia="Cambria Math" w:hAnsi="Calibri" w:cs="Calibri"/>
                <w:szCs w:val="20"/>
              </w:rPr>
            </w:pPr>
            <m:oMathPara>
              <m:oMath>
                <m:r>
                  <w:rPr>
                    <w:rFonts w:ascii="Cambria Math" w:eastAsia="Cambria Math" w:hAnsi="Cambria Math" w:cs="Calibri"/>
                    <w:color w:val="000000"/>
                    <w:szCs w:val="20"/>
                  </w:rPr>
                  <m:t xml:space="preserve">Change in cash sales </m:t>
                </m:r>
                <m:r>
                  <w:rPr>
                    <w:rFonts w:ascii="Cambria Math" w:eastAsia="Cambria Math" w:hAnsi="Cambria Math" w:cs="Calibri"/>
                    <w:szCs w:val="20"/>
                  </w:rPr>
                  <m:t xml:space="preserve">   =</m:t>
                </m:r>
                <m:f>
                  <m:fPr>
                    <m:ctrlPr>
                      <w:rPr>
                        <w:rFonts w:ascii="Cambria Math" w:eastAsia="Cambria Math" w:hAnsi="Cambria Math" w:cs="Calibri"/>
                        <w:color w:val="000000"/>
                        <w:szCs w:val="20"/>
                      </w:rPr>
                    </m:ctrlPr>
                  </m:fPr>
                  <m:num>
                    <m:r>
                      <w:rPr>
                        <w:rFonts w:ascii="Cambria Math" w:eastAsia="Cambria Math" w:hAnsi="Cambria Math" w:cs="Calibri"/>
                        <w:color w:val="000000"/>
                        <w:szCs w:val="20"/>
                      </w:rPr>
                      <m:t>ΔSales</m:t>
                    </m:r>
                  </m:num>
                  <m:den>
                    <m:r>
                      <w:rPr>
                        <w:rFonts w:ascii="Cambria Math" w:eastAsia="Cambria Math" w:hAnsi="Cambria Math" w:cs="Calibri"/>
                        <w:szCs w:val="20"/>
                      </w:rPr>
                      <m:t>A</m:t>
                    </m:r>
                    <m:r>
                      <w:rPr>
                        <w:rFonts w:ascii="Cambria Math" w:eastAsia="Cambria Math" w:hAnsi="Cambria Math" w:cs="Calibri"/>
                        <w:color w:val="000000"/>
                        <w:szCs w:val="20"/>
                      </w:rPr>
                      <m:t>Sales (t)</m:t>
                    </m:r>
                  </m:den>
                </m:f>
                <m:r>
                  <w:rPr>
                    <w:rFonts w:ascii="Cambria Math" w:eastAsia="Cambria Math" w:hAnsi="Cambria Math" w:cs="Calibri"/>
                    <w:szCs w:val="20"/>
                  </w:rPr>
                  <m:t>-</m:t>
                </m:r>
                <m:f>
                  <m:fPr>
                    <m:ctrlPr>
                      <w:rPr>
                        <w:rFonts w:ascii="Cambria Math" w:eastAsia="Cambria Math" w:hAnsi="Cambria Math" w:cs="Calibri"/>
                        <w:color w:val="000000"/>
                        <w:szCs w:val="20"/>
                      </w:rPr>
                    </m:ctrlPr>
                  </m:fPr>
                  <m:num>
                    <m:r>
                      <w:rPr>
                        <w:rFonts w:ascii="Cambria Math" w:eastAsia="Cambria Math" w:hAnsi="Cambria Math" w:cs="Calibri"/>
                        <w:color w:val="000000"/>
                        <w:szCs w:val="20"/>
                      </w:rPr>
                      <m:t xml:space="preserve">ΔReceivables </m:t>
                    </m:r>
                  </m:num>
                  <m:den>
                    <m:r>
                      <w:rPr>
                        <w:rFonts w:ascii="Cambria Math" w:eastAsia="Cambria Math" w:hAnsi="Cambria Math" w:cs="Calibri"/>
                        <w:szCs w:val="20"/>
                      </w:rPr>
                      <m:t>Receivables</m:t>
                    </m:r>
                    <m:r>
                      <w:rPr>
                        <w:rFonts w:ascii="Cambria Math" w:eastAsia="Cambria Math" w:hAnsi="Cambria Math" w:cs="Calibri"/>
                        <w:color w:val="000000"/>
                        <w:szCs w:val="20"/>
                      </w:rPr>
                      <m:t>(t)</m:t>
                    </m:r>
                  </m:den>
                </m:f>
                <m:r>
                  <w:rPr>
                    <w:rFonts w:ascii="Cambria Math" w:eastAsia="Cambria Math" w:hAnsi="Cambria Math" w:cs="Calibri"/>
                    <w:szCs w:val="20"/>
                  </w:rPr>
                  <m:t xml:space="preserve"> </m:t>
                </m:r>
              </m:oMath>
            </m:oMathPara>
          </w:p>
          <w:p w14:paraId="411D56B4" w14:textId="7E6A66B3" w:rsidR="004200F8" w:rsidRPr="000C62D7" w:rsidRDefault="004200F8" w:rsidP="005C5F15">
            <w:pPr>
              <w:spacing w:before="240" w:line="360" w:lineRule="auto"/>
              <w:ind w:left="0" w:hanging="2"/>
              <w:rPr>
                <w:rFonts w:ascii="Calibri" w:eastAsia="Cambria Math" w:hAnsi="Calibri" w:cs="Calibri"/>
                <w:color w:val="000000"/>
                <w:szCs w:val="20"/>
              </w:rPr>
            </w:pPr>
            <m:oMathPara>
              <m:oMath>
                <m:r>
                  <w:rPr>
                    <w:rFonts w:ascii="Cambria Math" w:eastAsia="Cambria Math" w:hAnsi="Cambria Math" w:cs="Calibri"/>
                    <w:color w:val="000000"/>
                    <w:szCs w:val="20"/>
                  </w:rPr>
                  <m:t>Change in earnins</m:t>
                </m:r>
                <m:r>
                  <w:rPr>
                    <w:rFonts w:ascii="Cambria Math" w:eastAsia="Cambria Math" w:hAnsi="Cambria Math" w:cs="Calibri"/>
                    <w:szCs w:val="20"/>
                  </w:rPr>
                  <m:t>=</m:t>
                </m:r>
                <m:f>
                  <m:fPr>
                    <m:ctrlPr>
                      <w:rPr>
                        <w:rFonts w:ascii="Cambria Math" w:eastAsia="Cambria Math" w:hAnsi="Cambria Math" w:cs="Calibri"/>
                        <w:color w:val="000000"/>
                        <w:szCs w:val="20"/>
                      </w:rPr>
                    </m:ctrlPr>
                  </m:fPr>
                  <m:num>
                    <m:r>
                      <w:rPr>
                        <w:rFonts w:ascii="Cambria Math" w:eastAsia="Cambria Math" w:hAnsi="Cambria Math" w:cs="Calibri"/>
                        <w:color w:val="000000"/>
                        <w:szCs w:val="20"/>
                      </w:rPr>
                      <m:t xml:space="preserve">Earnings </m:t>
                    </m:r>
                    <m:d>
                      <m:dPr>
                        <m:ctrlPr>
                          <w:rPr>
                            <w:rFonts w:ascii="Cambria Math" w:eastAsia="Cambria Math" w:hAnsi="Cambria Math" w:cs="Calibri"/>
                            <w:color w:val="000000"/>
                            <w:szCs w:val="20"/>
                          </w:rPr>
                        </m:ctrlPr>
                      </m:dPr>
                      <m:e>
                        <m:r>
                          <w:rPr>
                            <w:rFonts w:ascii="Cambria Math" w:eastAsia="Cambria Math" w:hAnsi="Cambria Math" w:cs="Calibri"/>
                            <w:color w:val="000000"/>
                            <w:szCs w:val="20"/>
                          </w:rPr>
                          <m:t>t</m:t>
                        </m:r>
                      </m:e>
                    </m:d>
                  </m:num>
                  <m:den>
                    <m:r>
                      <w:rPr>
                        <w:rFonts w:ascii="Cambria Math" w:eastAsia="Cambria Math" w:hAnsi="Cambria Math" w:cs="Calibri"/>
                        <w:color w:val="000000"/>
                        <w:szCs w:val="20"/>
                      </w:rPr>
                      <m:t xml:space="preserve">Average Total Assets </m:t>
                    </m:r>
                    <m:d>
                      <m:dPr>
                        <m:ctrlPr>
                          <w:rPr>
                            <w:rFonts w:ascii="Cambria Math" w:eastAsia="Cambria Math" w:hAnsi="Cambria Math" w:cs="Calibri"/>
                            <w:color w:val="000000"/>
                            <w:szCs w:val="20"/>
                          </w:rPr>
                        </m:ctrlPr>
                      </m:dPr>
                      <m:e>
                        <m:r>
                          <w:rPr>
                            <w:rFonts w:ascii="Cambria Math" w:eastAsia="Cambria Math" w:hAnsi="Cambria Math" w:cs="Calibri"/>
                            <w:color w:val="000000"/>
                            <w:szCs w:val="20"/>
                          </w:rPr>
                          <m:t>t</m:t>
                        </m:r>
                      </m:e>
                    </m:d>
                  </m:den>
                </m:f>
                <m:r>
                  <w:rPr>
                    <w:rFonts w:ascii="Cambria Math" w:eastAsia="Cambria Math" w:hAnsi="Cambria Math" w:cs="Calibri"/>
                    <w:szCs w:val="20"/>
                  </w:rPr>
                  <m:t>-</m:t>
                </m:r>
                <m:f>
                  <m:fPr>
                    <m:ctrlPr>
                      <w:rPr>
                        <w:rFonts w:ascii="Cambria Math" w:eastAsia="Cambria Math" w:hAnsi="Cambria Math" w:cs="Calibri"/>
                        <w:color w:val="000000"/>
                        <w:szCs w:val="20"/>
                      </w:rPr>
                    </m:ctrlPr>
                  </m:fPr>
                  <m:num>
                    <m:r>
                      <w:rPr>
                        <w:rFonts w:ascii="Cambria Math" w:eastAsia="Cambria Math" w:hAnsi="Cambria Math" w:cs="Calibri"/>
                        <w:szCs w:val="20"/>
                      </w:rPr>
                      <m:t>Earnings (t-1)</m:t>
                    </m:r>
                  </m:num>
                  <m:den>
                    <m:r>
                      <w:rPr>
                        <w:rFonts w:ascii="Cambria Math" w:eastAsia="Cambria Math" w:hAnsi="Cambria Math" w:cs="Calibri"/>
                        <w:color w:val="000000"/>
                        <w:szCs w:val="20"/>
                      </w:rPr>
                      <m:t xml:space="preserve">Average Total Assets </m:t>
                    </m:r>
                    <m:d>
                      <m:dPr>
                        <m:ctrlPr>
                          <w:rPr>
                            <w:rFonts w:ascii="Cambria Math" w:eastAsia="Cambria Math" w:hAnsi="Cambria Math" w:cs="Calibri"/>
                            <w:color w:val="000000"/>
                            <w:szCs w:val="20"/>
                          </w:rPr>
                        </m:ctrlPr>
                      </m:dPr>
                      <m:e>
                        <m:r>
                          <w:rPr>
                            <w:rFonts w:ascii="Cambria Math" w:eastAsia="Cambria Math" w:hAnsi="Cambria Math" w:cs="Calibri"/>
                            <w:color w:val="000000"/>
                            <w:szCs w:val="20"/>
                          </w:rPr>
                          <m:t>t-1</m:t>
                        </m:r>
                      </m:e>
                    </m:d>
                  </m:den>
                </m:f>
              </m:oMath>
            </m:oMathPara>
          </w:p>
          <w:p w14:paraId="1D93FFC6" w14:textId="77777777" w:rsidR="004200F8" w:rsidRPr="000C62D7" w:rsidRDefault="004200F8" w:rsidP="004D6359">
            <w:pPr>
              <w:ind w:left="0" w:hanging="2"/>
              <w:jc w:val="both"/>
              <w:rPr>
                <w:rFonts w:ascii="Calibri" w:eastAsia="Times New Roman" w:hAnsi="Calibri" w:cs="Calibri"/>
                <w:szCs w:val="20"/>
              </w:rPr>
            </w:pPr>
          </w:p>
        </w:tc>
      </w:tr>
      <w:tr w:rsidR="004200F8" w:rsidRPr="000C62D7" w14:paraId="0EB3AA83" w14:textId="77777777" w:rsidTr="005C5F15">
        <w:trPr>
          <w:trHeight w:val="283"/>
        </w:trPr>
        <w:tc>
          <w:tcPr>
            <w:tcW w:w="8075" w:type="dxa"/>
            <w:gridSpan w:val="3"/>
            <w:tcBorders>
              <w:top w:val="single" w:sz="4" w:space="0" w:color="auto"/>
              <w:bottom w:val="single" w:sz="4" w:space="0" w:color="auto"/>
            </w:tcBorders>
          </w:tcPr>
          <w:p w14:paraId="03BD42AD" w14:textId="77777777" w:rsidR="004200F8" w:rsidRPr="000C62D7" w:rsidRDefault="004200F8" w:rsidP="004D6359">
            <w:pPr>
              <w:ind w:left="0" w:hanging="2"/>
              <w:rPr>
                <w:rFonts w:ascii="Calibri" w:eastAsia="Times New Roman" w:hAnsi="Calibri" w:cs="Calibri"/>
                <w:b/>
                <w:szCs w:val="20"/>
              </w:rPr>
            </w:pPr>
            <w:r w:rsidRPr="000C62D7">
              <w:rPr>
                <w:rFonts w:ascii="Calibri" w:eastAsia="Times New Roman" w:hAnsi="Calibri" w:cs="Calibri"/>
                <w:b/>
                <w:szCs w:val="20"/>
              </w:rPr>
              <w:t>Independent Variables</w:t>
            </w:r>
          </w:p>
        </w:tc>
      </w:tr>
      <w:tr w:rsidR="004200F8" w:rsidRPr="000C62D7" w14:paraId="37A2692A" w14:textId="77777777" w:rsidTr="005C5F15">
        <w:trPr>
          <w:trHeight w:val="283"/>
        </w:trPr>
        <w:tc>
          <w:tcPr>
            <w:tcW w:w="1838" w:type="dxa"/>
            <w:tcBorders>
              <w:top w:val="single" w:sz="4" w:space="0" w:color="auto"/>
            </w:tcBorders>
          </w:tcPr>
          <w:p w14:paraId="1DA117E4" w14:textId="77777777" w:rsidR="004200F8" w:rsidRPr="000C62D7" w:rsidRDefault="004200F8" w:rsidP="004D6359">
            <w:pPr>
              <w:ind w:left="0" w:hanging="2"/>
              <w:jc w:val="both"/>
              <w:rPr>
                <w:rFonts w:ascii="Calibri" w:eastAsia="Times New Roman" w:hAnsi="Calibri" w:cs="Calibri"/>
                <w:i/>
                <w:szCs w:val="20"/>
              </w:rPr>
            </w:pPr>
            <w:r w:rsidRPr="000C62D7">
              <w:rPr>
                <w:rFonts w:ascii="Calibri" w:eastAsia="Times New Roman" w:hAnsi="Calibri" w:cs="Calibri"/>
                <w:i/>
                <w:szCs w:val="20"/>
              </w:rPr>
              <w:t xml:space="preserve">Financial Stability </w:t>
            </w:r>
          </w:p>
        </w:tc>
        <w:tc>
          <w:tcPr>
            <w:tcW w:w="1134" w:type="dxa"/>
            <w:tcBorders>
              <w:top w:val="single" w:sz="4" w:space="0" w:color="auto"/>
            </w:tcBorders>
          </w:tcPr>
          <w:p w14:paraId="481E576D" w14:textId="77777777" w:rsidR="004200F8" w:rsidRPr="000C62D7" w:rsidRDefault="004200F8" w:rsidP="004D6359">
            <w:pPr>
              <w:ind w:left="0" w:hanging="2"/>
              <w:rPr>
                <w:rFonts w:ascii="Calibri" w:eastAsia="Times New Roman" w:hAnsi="Calibri" w:cs="Calibri"/>
                <w:szCs w:val="20"/>
              </w:rPr>
            </w:pPr>
            <w:r w:rsidRPr="000C62D7">
              <w:rPr>
                <w:rFonts w:ascii="Calibri" w:eastAsia="Times New Roman" w:hAnsi="Calibri" w:cs="Calibri"/>
                <w:szCs w:val="20"/>
              </w:rPr>
              <w:t>FS</w:t>
            </w:r>
          </w:p>
        </w:tc>
        <w:tc>
          <w:tcPr>
            <w:tcW w:w="5103" w:type="dxa"/>
            <w:tcBorders>
              <w:top w:val="single" w:sz="4" w:space="0" w:color="auto"/>
            </w:tcBorders>
          </w:tcPr>
          <w:p w14:paraId="4F0CC305" w14:textId="77777777" w:rsidR="004200F8" w:rsidRPr="000C62D7" w:rsidRDefault="004200F8" w:rsidP="004200F8">
            <w:pPr>
              <w:spacing w:line="480" w:lineRule="auto"/>
              <w:ind w:left="0" w:hanging="2"/>
              <w:rPr>
                <w:rFonts w:ascii="Calibri" w:eastAsia="Cambria Math" w:hAnsi="Calibri" w:cs="Calibri"/>
                <w:color w:val="242021"/>
                <w:szCs w:val="20"/>
              </w:rPr>
            </w:pPr>
            <m:oMathPara>
              <m:oMath>
                <m:r>
                  <w:rPr>
                    <w:rFonts w:ascii="Cambria Math" w:eastAsia="Cambria Math" w:hAnsi="Cambria Math" w:cs="Calibri"/>
                    <w:szCs w:val="20"/>
                  </w:rPr>
                  <m:t>ACHANGE=</m:t>
                </m:r>
                <m:f>
                  <m:fPr>
                    <m:ctrlPr>
                      <w:rPr>
                        <w:rFonts w:ascii="Cambria Math" w:eastAsia="Cambria Math" w:hAnsi="Cambria Math" w:cs="Calibri"/>
                        <w:color w:val="000000"/>
                        <w:szCs w:val="20"/>
                      </w:rPr>
                    </m:ctrlPr>
                  </m:fPr>
                  <m:num>
                    <m:sSub>
                      <m:sSubPr>
                        <m:ctrlPr>
                          <w:rPr>
                            <w:rFonts w:ascii="Cambria Math" w:eastAsia="Cambria Math" w:hAnsi="Cambria Math" w:cs="Calibri"/>
                            <w:color w:val="242021"/>
                            <w:szCs w:val="20"/>
                          </w:rPr>
                        </m:ctrlPr>
                      </m:sSubPr>
                      <m:e>
                        <m:r>
                          <w:rPr>
                            <w:rFonts w:ascii="Cambria Math" w:eastAsia="Cambria Math" w:hAnsi="Cambria Math" w:cs="Calibri"/>
                            <w:color w:val="242021"/>
                            <w:szCs w:val="20"/>
                          </w:rPr>
                          <m:t xml:space="preserve">Total Aset </m:t>
                        </m:r>
                      </m:e>
                      <m:sub>
                        <m:r>
                          <w:rPr>
                            <w:rFonts w:ascii="Cambria Math" w:eastAsia="Cambria Math" w:hAnsi="Cambria Math" w:cs="Calibri"/>
                            <w:color w:val="242021"/>
                            <w:szCs w:val="20"/>
                          </w:rPr>
                          <m:t xml:space="preserve"> t </m:t>
                        </m:r>
                      </m:sub>
                    </m:sSub>
                    <m:r>
                      <w:rPr>
                        <w:rFonts w:ascii="Cambria Math" w:eastAsia="Cambria Math" w:hAnsi="Cambria Math" w:cs="Calibri"/>
                        <w:color w:val="000000"/>
                        <w:szCs w:val="20"/>
                      </w:rPr>
                      <m:t>-</m:t>
                    </m:r>
                    <m:sSub>
                      <m:sSubPr>
                        <m:ctrlPr>
                          <w:rPr>
                            <w:rFonts w:ascii="Cambria Math" w:eastAsia="Cambria Math" w:hAnsi="Cambria Math" w:cs="Calibri"/>
                            <w:color w:val="242021"/>
                            <w:szCs w:val="20"/>
                          </w:rPr>
                        </m:ctrlPr>
                      </m:sSubPr>
                      <m:e>
                        <m:r>
                          <w:rPr>
                            <w:rFonts w:ascii="Cambria Math" w:eastAsia="Cambria Math" w:hAnsi="Cambria Math" w:cs="Calibri"/>
                            <w:color w:val="242021"/>
                            <w:szCs w:val="20"/>
                          </w:rPr>
                          <m:t>Total Aset</m:t>
                        </m:r>
                      </m:e>
                      <m:sub>
                        <m:r>
                          <w:rPr>
                            <w:rFonts w:ascii="Cambria Math" w:eastAsia="Cambria Math" w:hAnsi="Cambria Math" w:cs="Calibri"/>
                            <w:color w:val="242021"/>
                            <w:szCs w:val="20"/>
                          </w:rPr>
                          <m:t>t-1</m:t>
                        </m:r>
                      </m:sub>
                    </m:sSub>
                  </m:num>
                  <m:den>
                    <m:sSub>
                      <m:sSubPr>
                        <m:ctrlPr>
                          <w:rPr>
                            <w:rFonts w:ascii="Cambria Math" w:eastAsia="Cambria Math" w:hAnsi="Cambria Math" w:cs="Calibri"/>
                            <w:color w:val="242021"/>
                            <w:szCs w:val="20"/>
                          </w:rPr>
                        </m:ctrlPr>
                      </m:sSubPr>
                      <m:e>
                        <m:r>
                          <w:rPr>
                            <w:rFonts w:ascii="Cambria Math" w:eastAsia="Cambria Math" w:hAnsi="Cambria Math" w:cs="Calibri"/>
                            <w:color w:val="242021"/>
                            <w:szCs w:val="20"/>
                          </w:rPr>
                          <m:t>Total Aset</m:t>
                        </m:r>
                      </m:e>
                      <m:sub>
                        <m:r>
                          <w:rPr>
                            <w:rFonts w:ascii="Cambria Math" w:eastAsia="Cambria Math" w:hAnsi="Cambria Math" w:cs="Calibri"/>
                            <w:color w:val="242021"/>
                            <w:szCs w:val="20"/>
                          </w:rPr>
                          <m:t>t-1</m:t>
                        </m:r>
                      </m:sub>
                    </m:sSub>
                  </m:den>
                </m:f>
              </m:oMath>
            </m:oMathPara>
          </w:p>
        </w:tc>
      </w:tr>
      <w:tr w:rsidR="004200F8" w:rsidRPr="000C62D7" w14:paraId="79749ED2" w14:textId="77777777" w:rsidTr="00120B44">
        <w:trPr>
          <w:trHeight w:val="283"/>
        </w:trPr>
        <w:tc>
          <w:tcPr>
            <w:tcW w:w="1838" w:type="dxa"/>
          </w:tcPr>
          <w:p w14:paraId="6CA93BA2" w14:textId="77777777" w:rsidR="004200F8" w:rsidRPr="000C62D7" w:rsidRDefault="004200F8" w:rsidP="004D6359">
            <w:pPr>
              <w:ind w:left="0" w:hanging="2"/>
              <w:jc w:val="both"/>
              <w:rPr>
                <w:rFonts w:ascii="Calibri" w:eastAsia="Times New Roman" w:hAnsi="Calibri" w:cs="Calibri"/>
                <w:szCs w:val="20"/>
              </w:rPr>
            </w:pPr>
            <w:r w:rsidRPr="000C62D7">
              <w:rPr>
                <w:rFonts w:ascii="Calibri" w:eastAsia="Times New Roman" w:hAnsi="Calibri" w:cs="Calibri"/>
                <w:szCs w:val="20"/>
              </w:rPr>
              <w:t>Independent Board of Commissioners</w:t>
            </w:r>
          </w:p>
        </w:tc>
        <w:tc>
          <w:tcPr>
            <w:tcW w:w="1134" w:type="dxa"/>
          </w:tcPr>
          <w:p w14:paraId="3361ABB7" w14:textId="77777777" w:rsidR="004200F8" w:rsidRPr="000C62D7" w:rsidRDefault="004200F8" w:rsidP="004D6359">
            <w:pPr>
              <w:ind w:left="0" w:hanging="2"/>
              <w:rPr>
                <w:rFonts w:ascii="Calibri" w:eastAsia="Times New Roman" w:hAnsi="Calibri" w:cs="Calibri"/>
                <w:szCs w:val="20"/>
              </w:rPr>
            </w:pPr>
            <w:r w:rsidRPr="000C62D7">
              <w:rPr>
                <w:rFonts w:ascii="Calibri" w:eastAsia="Times New Roman" w:hAnsi="Calibri" w:cs="Calibri"/>
                <w:szCs w:val="20"/>
              </w:rPr>
              <w:t>DKI</w:t>
            </w:r>
          </w:p>
        </w:tc>
        <w:tc>
          <w:tcPr>
            <w:tcW w:w="5103" w:type="dxa"/>
          </w:tcPr>
          <w:p w14:paraId="45055AAE" w14:textId="77777777" w:rsidR="004200F8" w:rsidRPr="000C62D7" w:rsidRDefault="004200F8" w:rsidP="004D6359">
            <w:pPr>
              <w:ind w:left="0" w:hanging="2"/>
              <w:rPr>
                <w:rFonts w:ascii="Calibri" w:eastAsia="Cambria Math" w:hAnsi="Calibri" w:cs="Calibri"/>
                <w:color w:val="242021"/>
                <w:szCs w:val="20"/>
              </w:rPr>
            </w:pPr>
            <m:oMathPara>
              <m:oMath>
                <m:r>
                  <w:rPr>
                    <w:rFonts w:ascii="Cambria Math" w:eastAsia="Cambria Math" w:hAnsi="Cambria Math" w:cs="Calibri"/>
                    <w:szCs w:val="20"/>
                  </w:rPr>
                  <m:t xml:space="preserve">INDEPT= </m:t>
                </m:r>
                <m:r>
                  <w:rPr>
                    <w:rFonts w:ascii="Cambria Math" w:eastAsia="Cambria Math" w:hAnsi="Cambria Math" w:cs="Calibri"/>
                    <w:color w:val="242021"/>
                    <w:szCs w:val="20"/>
                  </w:rPr>
                  <m:t>% independent commissioners</m:t>
                </m:r>
              </m:oMath>
            </m:oMathPara>
          </w:p>
        </w:tc>
      </w:tr>
      <w:tr w:rsidR="004200F8" w:rsidRPr="000C62D7" w14:paraId="2F0C473F" w14:textId="77777777" w:rsidTr="00120B44">
        <w:trPr>
          <w:trHeight w:val="283"/>
        </w:trPr>
        <w:tc>
          <w:tcPr>
            <w:tcW w:w="1838" w:type="dxa"/>
          </w:tcPr>
          <w:p w14:paraId="09FDE7C9" w14:textId="77777777" w:rsidR="004200F8" w:rsidRPr="000C62D7" w:rsidRDefault="004200F8" w:rsidP="004D6359">
            <w:pPr>
              <w:ind w:left="0" w:hanging="2"/>
              <w:jc w:val="both"/>
              <w:rPr>
                <w:rFonts w:ascii="Calibri" w:eastAsia="Times New Roman" w:hAnsi="Calibri" w:cs="Calibri"/>
                <w:szCs w:val="20"/>
              </w:rPr>
            </w:pPr>
            <w:r w:rsidRPr="000C62D7">
              <w:rPr>
                <w:rFonts w:ascii="Calibri" w:eastAsia="Times New Roman" w:hAnsi="Calibri" w:cs="Calibri"/>
                <w:szCs w:val="20"/>
              </w:rPr>
              <w:t>Auditor turnover</w:t>
            </w:r>
          </w:p>
        </w:tc>
        <w:tc>
          <w:tcPr>
            <w:tcW w:w="1134" w:type="dxa"/>
          </w:tcPr>
          <w:p w14:paraId="6CB1C97B" w14:textId="77777777" w:rsidR="004200F8" w:rsidRPr="000C62D7" w:rsidRDefault="004200F8" w:rsidP="004D6359">
            <w:pPr>
              <w:ind w:left="0" w:hanging="2"/>
              <w:rPr>
                <w:rFonts w:ascii="Calibri" w:eastAsia="Times New Roman" w:hAnsi="Calibri" w:cs="Calibri"/>
                <w:szCs w:val="20"/>
              </w:rPr>
            </w:pPr>
            <w:r w:rsidRPr="000C62D7">
              <w:rPr>
                <w:rFonts w:ascii="Calibri" w:eastAsia="Times New Roman" w:hAnsi="Calibri" w:cs="Calibri"/>
                <w:szCs w:val="20"/>
              </w:rPr>
              <w:t>PA</w:t>
            </w:r>
          </w:p>
        </w:tc>
        <w:tc>
          <w:tcPr>
            <w:tcW w:w="5103" w:type="dxa"/>
          </w:tcPr>
          <w:p w14:paraId="7B8B6E1D" w14:textId="77777777" w:rsidR="004200F8" w:rsidRPr="000C62D7" w:rsidRDefault="004200F8" w:rsidP="004D6359">
            <w:pPr>
              <w:ind w:left="0" w:hanging="2"/>
              <w:jc w:val="both"/>
              <w:rPr>
                <w:rFonts w:ascii="Calibri" w:eastAsia="Times New Roman" w:hAnsi="Calibri" w:cs="Calibri"/>
                <w:szCs w:val="20"/>
              </w:rPr>
            </w:pPr>
            <w:r w:rsidRPr="000C62D7">
              <w:rPr>
                <w:rFonts w:ascii="Calibri" w:eastAsia="Times New Roman" w:hAnsi="Calibri" w:cs="Calibri"/>
                <w:szCs w:val="20"/>
              </w:rPr>
              <w:t xml:space="preserve">The replacement of auditors is measured by dummy </w:t>
            </w:r>
            <w:proofErr w:type="gramStart"/>
            <w:r w:rsidRPr="000C62D7">
              <w:rPr>
                <w:rFonts w:ascii="Calibri" w:eastAsia="Times New Roman" w:hAnsi="Calibri" w:cs="Calibri"/>
                <w:szCs w:val="20"/>
              </w:rPr>
              <w:t>variables,</w:t>
            </w:r>
            <w:proofErr w:type="gramEnd"/>
            <w:r w:rsidRPr="000C62D7">
              <w:rPr>
                <w:rFonts w:ascii="Calibri" w:eastAsia="Times New Roman" w:hAnsi="Calibri" w:cs="Calibri"/>
                <w:szCs w:val="20"/>
              </w:rPr>
              <w:t xml:space="preserve"> the replacement of auditors is given a value of 1 and a value of 0 if there is no change of auditor.</w:t>
            </w:r>
          </w:p>
        </w:tc>
      </w:tr>
      <w:tr w:rsidR="004200F8" w:rsidRPr="000C62D7" w14:paraId="57A6D14D" w14:textId="77777777" w:rsidTr="00120B44">
        <w:trPr>
          <w:trHeight w:val="283"/>
        </w:trPr>
        <w:tc>
          <w:tcPr>
            <w:tcW w:w="1838" w:type="dxa"/>
          </w:tcPr>
          <w:p w14:paraId="05160758" w14:textId="77777777" w:rsidR="004200F8" w:rsidRPr="000C62D7" w:rsidRDefault="004200F8" w:rsidP="004D6359">
            <w:pPr>
              <w:ind w:left="0" w:hanging="2"/>
              <w:jc w:val="both"/>
              <w:rPr>
                <w:rFonts w:ascii="Calibri" w:eastAsia="Times New Roman" w:hAnsi="Calibri" w:cs="Calibri"/>
                <w:szCs w:val="20"/>
              </w:rPr>
            </w:pPr>
            <w:r w:rsidRPr="000C62D7">
              <w:rPr>
                <w:rFonts w:ascii="Calibri" w:eastAsia="Times New Roman" w:hAnsi="Calibri" w:cs="Calibri"/>
                <w:szCs w:val="20"/>
              </w:rPr>
              <w:t>Change of directors</w:t>
            </w:r>
          </w:p>
        </w:tc>
        <w:tc>
          <w:tcPr>
            <w:tcW w:w="1134" w:type="dxa"/>
          </w:tcPr>
          <w:p w14:paraId="39246B13" w14:textId="77777777" w:rsidR="004200F8" w:rsidRPr="000C62D7" w:rsidRDefault="004200F8" w:rsidP="004D6359">
            <w:pPr>
              <w:ind w:left="0" w:hanging="2"/>
              <w:rPr>
                <w:rFonts w:ascii="Calibri" w:eastAsia="Times New Roman" w:hAnsi="Calibri" w:cs="Calibri"/>
                <w:szCs w:val="20"/>
              </w:rPr>
            </w:pPr>
            <w:r w:rsidRPr="000C62D7">
              <w:rPr>
                <w:rFonts w:ascii="Calibri" w:eastAsia="Times New Roman" w:hAnsi="Calibri" w:cs="Calibri"/>
                <w:szCs w:val="20"/>
              </w:rPr>
              <w:t>PD</w:t>
            </w:r>
          </w:p>
        </w:tc>
        <w:tc>
          <w:tcPr>
            <w:tcW w:w="5103" w:type="dxa"/>
          </w:tcPr>
          <w:p w14:paraId="452C82E8" w14:textId="77777777" w:rsidR="004200F8" w:rsidRPr="000C62D7" w:rsidRDefault="004200F8" w:rsidP="004D6359">
            <w:pPr>
              <w:ind w:left="0" w:hanging="2"/>
              <w:jc w:val="both"/>
              <w:rPr>
                <w:rFonts w:ascii="Calibri" w:eastAsia="Times New Roman" w:hAnsi="Calibri" w:cs="Calibri"/>
                <w:szCs w:val="20"/>
              </w:rPr>
            </w:pPr>
            <w:r w:rsidRPr="000C62D7">
              <w:rPr>
                <w:rFonts w:ascii="Calibri" w:eastAsia="Times New Roman" w:hAnsi="Calibri" w:cs="Calibri"/>
                <w:szCs w:val="20"/>
              </w:rPr>
              <w:t>The company changes the composition of its board of directors from the previous period, the value will be 1, but if there is no change, the value will be 0 according to the research carried out.</w:t>
            </w:r>
          </w:p>
        </w:tc>
      </w:tr>
      <w:tr w:rsidR="004200F8" w:rsidRPr="000C62D7" w14:paraId="70B2AA80" w14:textId="77777777" w:rsidTr="00120B44">
        <w:trPr>
          <w:trHeight w:val="283"/>
        </w:trPr>
        <w:tc>
          <w:tcPr>
            <w:tcW w:w="1838" w:type="dxa"/>
          </w:tcPr>
          <w:p w14:paraId="35B85AB4" w14:textId="77777777" w:rsidR="004200F8" w:rsidRPr="000C62D7" w:rsidRDefault="004200F8" w:rsidP="004D6359">
            <w:pPr>
              <w:ind w:left="0" w:hanging="2"/>
              <w:jc w:val="both"/>
              <w:rPr>
                <w:rFonts w:ascii="Calibri" w:eastAsia="Times New Roman" w:hAnsi="Calibri" w:cs="Calibri"/>
                <w:i/>
                <w:szCs w:val="20"/>
              </w:rPr>
            </w:pPr>
            <w:r w:rsidRPr="000C62D7">
              <w:rPr>
                <w:rFonts w:ascii="Calibri" w:eastAsia="Times New Roman" w:hAnsi="Calibri" w:cs="Calibri"/>
                <w:szCs w:val="20"/>
              </w:rPr>
              <w:t xml:space="preserve">CEO </w:t>
            </w:r>
            <w:r w:rsidRPr="000C62D7">
              <w:rPr>
                <w:rFonts w:ascii="Calibri" w:eastAsia="Times New Roman" w:hAnsi="Calibri" w:cs="Calibri"/>
                <w:i/>
                <w:szCs w:val="20"/>
              </w:rPr>
              <w:t xml:space="preserve">Profile Picture </w:t>
            </w:r>
          </w:p>
        </w:tc>
        <w:tc>
          <w:tcPr>
            <w:tcW w:w="1134" w:type="dxa"/>
          </w:tcPr>
          <w:p w14:paraId="7C7C7C29" w14:textId="77777777" w:rsidR="004200F8" w:rsidRPr="000C62D7" w:rsidRDefault="004200F8" w:rsidP="004D6359">
            <w:pPr>
              <w:ind w:left="0" w:hanging="2"/>
              <w:rPr>
                <w:rFonts w:ascii="Calibri" w:eastAsia="Times New Roman" w:hAnsi="Calibri" w:cs="Calibri"/>
                <w:szCs w:val="20"/>
              </w:rPr>
            </w:pPr>
            <w:r w:rsidRPr="000C62D7">
              <w:rPr>
                <w:rFonts w:ascii="Calibri" w:eastAsia="Times New Roman" w:hAnsi="Calibri" w:cs="Calibri"/>
                <w:szCs w:val="20"/>
              </w:rPr>
              <w:t>CPP</w:t>
            </w:r>
          </w:p>
        </w:tc>
        <w:tc>
          <w:tcPr>
            <w:tcW w:w="5103" w:type="dxa"/>
          </w:tcPr>
          <w:p w14:paraId="4EB429C1" w14:textId="77777777" w:rsidR="004200F8" w:rsidRPr="000C62D7" w:rsidRDefault="004200F8" w:rsidP="004D6359">
            <w:pPr>
              <w:ind w:left="0" w:hanging="2"/>
              <w:jc w:val="both"/>
              <w:rPr>
                <w:rFonts w:ascii="Calibri" w:eastAsia="Times New Roman" w:hAnsi="Calibri" w:cs="Calibri"/>
                <w:szCs w:val="20"/>
              </w:rPr>
            </w:pPr>
            <w:r w:rsidRPr="000C62D7">
              <w:rPr>
                <w:rFonts w:ascii="Calibri" w:eastAsia="Times New Roman" w:hAnsi="Calibri" w:cs="Calibri"/>
                <w:i/>
                <w:szCs w:val="20"/>
              </w:rPr>
              <w:t>Frequency of CEO's Picture</w:t>
            </w:r>
            <w:r w:rsidRPr="000C62D7">
              <w:rPr>
                <w:rFonts w:ascii="Calibri" w:eastAsia="Times New Roman" w:hAnsi="Calibri" w:cs="Calibri"/>
                <w:szCs w:val="20"/>
              </w:rPr>
              <w:t xml:space="preserve"> = Total CEO picture photos that appear in the annual report.</w:t>
            </w:r>
          </w:p>
        </w:tc>
      </w:tr>
      <w:tr w:rsidR="004200F8" w:rsidRPr="000C62D7" w14:paraId="74B86F1B" w14:textId="77777777" w:rsidTr="00120B44">
        <w:trPr>
          <w:trHeight w:val="283"/>
        </w:trPr>
        <w:tc>
          <w:tcPr>
            <w:tcW w:w="8075" w:type="dxa"/>
            <w:gridSpan w:val="3"/>
          </w:tcPr>
          <w:p w14:paraId="1143E517" w14:textId="77777777" w:rsidR="004200F8" w:rsidRPr="000C62D7" w:rsidRDefault="004200F8" w:rsidP="004D6359">
            <w:pPr>
              <w:ind w:left="0" w:hanging="2"/>
              <w:rPr>
                <w:rFonts w:ascii="Calibri" w:eastAsia="Times New Roman" w:hAnsi="Calibri" w:cs="Calibri"/>
                <w:b/>
                <w:i/>
                <w:szCs w:val="20"/>
              </w:rPr>
            </w:pPr>
            <w:r w:rsidRPr="000C62D7">
              <w:rPr>
                <w:rFonts w:ascii="Calibri" w:eastAsia="Times New Roman" w:hAnsi="Calibri" w:cs="Calibri"/>
                <w:b/>
                <w:szCs w:val="20"/>
              </w:rPr>
              <w:t xml:space="preserve">Control Variable </w:t>
            </w:r>
          </w:p>
        </w:tc>
      </w:tr>
      <w:tr w:rsidR="004200F8" w:rsidRPr="000C62D7" w14:paraId="0D94124B" w14:textId="77777777" w:rsidTr="000C62D7">
        <w:trPr>
          <w:trHeight w:val="283"/>
        </w:trPr>
        <w:tc>
          <w:tcPr>
            <w:tcW w:w="1838" w:type="dxa"/>
            <w:tcBorders>
              <w:bottom w:val="single" w:sz="4" w:space="0" w:color="auto"/>
            </w:tcBorders>
          </w:tcPr>
          <w:p w14:paraId="628B5126" w14:textId="77777777" w:rsidR="004200F8" w:rsidRPr="000C62D7" w:rsidRDefault="004200F8" w:rsidP="004D6359">
            <w:pPr>
              <w:ind w:left="0" w:hanging="2"/>
              <w:jc w:val="both"/>
              <w:rPr>
                <w:rFonts w:ascii="Calibri" w:eastAsia="Times New Roman" w:hAnsi="Calibri" w:cs="Calibri"/>
                <w:i/>
                <w:szCs w:val="20"/>
              </w:rPr>
            </w:pPr>
            <w:r w:rsidRPr="000C62D7">
              <w:rPr>
                <w:rFonts w:ascii="Calibri" w:eastAsia="Times New Roman" w:hAnsi="Calibri" w:cs="Calibri"/>
                <w:i/>
                <w:szCs w:val="20"/>
              </w:rPr>
              <w:t xml:space="preserve">Financial Target </w:t>
            </w:r>
          </w:p>
        </w:tc>
        <w:tc>
          <w:tcPr>
            <w:tcW w:w="1134" w:type="dxa"/>
            <w:tcBorders>
              <w:bottom w:val="single" w:sz="4" w:space="0" w:color="auto"/>
            </w:tcBorders>
          </w:tcPr>
          <w:p w14:paraId="15B4FFD7" w14:textId="77777777" w:rsidR="004200F8" w:rsidRPr="000C62D7" w:rsidRDefault="004200F8" w:rsidP="004D6359">
            <w:pPr>
              <w:ind w:left="0" w:hanging="2"/>
              <w:rPr>
                <w:rFonts w:ascii="Calibri" w:eastAsia="Times New Roman" w:hAnsi="Calibri" w:cs="Calibri"/>
                <w:szCs w:val="20"/>
              </w:rPr>
            </w:pPr>
            <w:r w:rsidRPr="000C62D7">
              <w:rPr>
                <w:rFonts w:ascii="Calibri" w:eastAsia="Times New Roman" w:hAnsi="Calibri" w:cs="Calibri"/>
                <w:szCs w:val="20"/>
              </w:rPr>
              <w:t>FT</w:t>
            </w:r>
          </w:p>
        </w:tc>
        <w:tc>
          <w:tcPr>
            <w:tcW w:w="5103" w:type="dxa"/>
            <w:tcBorders>
              <w:bottom w:val="single" w:sz="4" w:space="0" w:color="auto"/>
            </w:tcBorders>
          </w:tcPr>
          <w:p w14:paraId="13004CEE" w14:textId="5B47F39F" w:rsidR="004200F8" w:rsidRPr="000C62D7" w:rsidRDefault="004200F8" w:rsidP="000C62D7">
            <w:pPr>
              <w:spacing w:line="480" w:lineRule="auto"/>
              <w:ind w:left="0" w:hanging="2"/>
              <w:rPr>
                <w:rFonts w:ascii="Calibri" w:eastAsia="Cambria Math" w:hAnsi="Calibri" w:cs="Calibri"/>
                <w:szCs w:val="20"/>
              </w:rPr>
            </w:pPr>
            <m:oMathPara>
              <m:oMath>
                <m:r>
                  <w:rPr>
                    <w:rFonts w:ascii="Cambria Math" w:eastAsia="Cambria Math" w:hAnsi="Cambria Math" w:cs="Calibri"/>
                    <w:szCs w:val="20"/>
                  </w:rPr>
                  <m:t>ROA=</m:t>
                </m:r>
                <m:f>
                  <m:fPr>
                    <m:ctrlPr>
                      <w:rPr>
                        <w:rFonts w:ascii="Cambria Math" w:eastAsia="Cambria Math" w:hAnsi="Cambria Math" w:cs="Calibri"/>
                        <w:szCs w:val="20"/>
                      </w:rPr>
                    </m:ctrlPr>
                  </m:fPr>
                  <m:num>
                    <m:r>
                      <w:rPr>
                        <w:rFonts w:ascii="Cambria Math" w:eastAsia="Cambria Math" w:hAnsi="Cambria Math" w:cs="Calibri"/>
                        <w:color w:val="000000"/>
                        <w:szCs w:val="20"/>
                      </w:rPr>
                      <m:t xml:space="preserve">Laba setelah pajak </m:t>
                    </m:r>
                  </m:num>
                  <m:den>
                    <m:r>
                      <w:rPr>
                        <w:rFonts w:ascii="Cambria Math" w:eastAsia="Cambria Math" w:hAnsi="Cambria Math" w:cs="Calibri"/>
                        <w:szCs w:val="20"/>
                      </w:rPr>
                      <m:t xml:space="preserve">Total aset </m:t>
                    </m:r>
                  </m:den>
                </m:f>
              </m:oMath>
            </m:oMathPara>
          </w:p>
        </w:tc>
      </w:tr>
    </w:tbl>
    <w:p w14:paraId="048E73D5" w14:textId="77777777" w:rsidR="004200F8" w:rsidRPr="000C62D7" w:rsidRDefault="004200F8" w:rsidP="004200F8">
      <w:pPr>
        <w:spacing w:line="240" w:lineRule="auto"/>
        <w:ind w:left="0" w:hanging="2"/>
        <w:jc w:val="both"/>
        <w:rPr>
          <w:rFonts w:ascii="Calibri" w:eastAsia="Times New Roman" w:hAnsi="Calibri" w:cs="Calibri"/>
          <w:sz w:val="24"/>
          <w:szCs w:val="24"/>
        </w:rPr>
      </w:pPr>
    </w:p>
    <w:p w14:paraId="67FE68C6" w14:textId="14CD7138" w:rsidR="004200F8" w:rsidRPr="000C62D7" w:rsidRDefault="004200F8" w:rsidP="004200F8">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In hypothesis testing, a panel data regression model is used to predict the influence of each independent variable on the dependent variable. The panel data regression model can be expressed with the following equation:</w:t>
      </w:r>
    </w:p>
    <w:p w14:paraId="26066F30" w14:textId="6675A161" w:rsidR="004200F8" w:rsidRPr="000C62D7" w:rsidRDefault="004200F8" w:rsidP="004200F8">
      <w:pPr>
        <w:spacing w:line="360" w:lineRule="auto"/>
        <w:ind w:left="0" w:hanging="2"/>
        <w:rPr>
          <w:rFonts w:ascii="Cambria Math" w:eastAsia="Cambria Math" w:hAnsi="Cambria Math" w:cs="Cambria Math"/>
          <w:sz w:val="22"/>
        </w:rPr>
      </w:pPr>
      <m:oMathPara>
        <m:oMath>
          <m:r>
            <w:rPr>
              <w:rFonts w:ascii="Cambria Math" w:eastAsia="Cambria Math" w:hAnsi="Cambria Math" w:cs="Cambria Math"/>
              <w:sz w:val="22"/>
            </w:rPr>
            <m:t>FLK  =  β0 + β1</m:t>
          </m:r>
          <m:d>
            <m:dPr>
              <m:ctrlPr>
                <w:rPr>
                  <w:rFonts w:ascii="Cambria Math" w:eastAsia="Cambria Math" w:hAnsi="Cambria Math" w:cs="Cambria Math"/>
                  <w:sz w:val="22"/>
                </w:rPr>
              </m:ctrlPr>
            </m:dPr>
            <m:e>
              <m:r>
                <w:rPr>
                  <w:rFonts w:ascii="Cambria Math" w:eastAsia="Cambria Math" w:hAnsi="Cambria Math" w:cs="Cambria Math"/>
                  <w:sz w:val="22"/>
                </w:rPr>
                <m:t>FS</m:t>
              </m:r>
            </m:e>
          </m:d>
          <m:r>
            <w:rPr>
              <w:rFonts w:ascii="Cambria Math" w:eastAsia="Cambria Math" w:hAnsi="Cambria Math" w:cs="Cambria Math"/>
              <w:sz w:val="22"/>
            </w:rPr>
            <m:t>+ β2</m:t>
          </m:r>
          <m:d>
            <m:dPr>
              <m:ctrlPr>
                <w:rPr>
                  <w:rFonts w:ascii="Cambria Math" w:eastAsia="Cambria Math" w:hAnsi="Cambria Math" w:cs="Cambria Math"/>
                  <w:sz w:val="22"/>
                </w:rPr>
              </m:ctrlPr>
            </m:dPr>
            <m:e>
              <m:r>
                <w:rPr>
                  <w:rFonts w:ascii="Cambria Math" w:eastAsia="Cambria Math" w:hAnsi="Cambria Math" w:cs="Cambria Math"/>
                  <w:sz w:val="22"/>
                </w:rPr>
                <m:t>DKI</m:t>
              </m:r>
            </m:e>
          </m:d>
          <m:r>
            <w:rPr>
              <w:rFonts w:ascii="Cambria Math" w:eastAsia="Cambria Math" w:hAnsi="Cambria Math" w:cs="Cambria Math"/>
              <w:sz w:val="22"/>
            </w:rPr>
            <m:t>+ β3</m:t>
          </m:r>
          <m:d>
            <m:dPr>
              <m:ctrlPr>
                <w:rPr>
                  <w:rFonts w:ascii="Cambria Math" w:eastAsia="Cambria Math" w:hAnsi="Cambria Math" w:cs="Cambria Math"/>
                  <w:sz w:val="22"/>
                </w:rPr>
              </m:ctrlPr>
            </m:dPr>
            <m:e>
              <m:r>
                <w:rPr>
                  <w:rFonts w:ascii="Cambria Math" w:eastAsia="Cambria Math" w:hAnsi="Cambria Math" w:cs="Cambria Math"/>
                  <w:sz w:val="22"/>
                </w:rPr>
                <m:t>PA</m:t>
              </m:r>
            </m:e>
          </m:d>
          <m:r>
            <w:rPr>
              <w:rFonts w:ascii="Cambria Math" w:eastAsia="Cambria Math" w:hAnsi="Cambria Math" w:cs="Cambria Math"/>
              <w:sz w:val="22"/>
            </w:rPr>
            <m:t>+ β4</m:t>
          </m:r>
          <m:d>
            <m:dPr>
              <m:ctrlPr>
                <w:rPr>
                  <w:rFonts w:ascii="Cambria Math" w:eastAsia="Cambria Math" w:hAnsi="Cambria Math" w:cs="Cambria Math"/>
                  <w:sz w:val="22"/>
                </w:rPr>
              </m:ctrlPr>
            </m:dPr>
            <m:e>
              <m:r>
                <w:rPr>
                  <w:rFonts w:ascii="Cambria Math" w:eastAsia="Cambria Math" w:hAnsi="Cambria Math" w:cs="Cambria Math"/>
                  <w:sz w:val="22"/>
                </w:rPr>
                <m:t>PD</m:t>
              </m:r>
            </m:e>
          </m:d>
          <m:r>
            <w:rPr>
              <w:rFonts w:ascii="Cambria Math" w:eastAsia="Cambria Math" w:hAnsi="Cambria Math" w:cs="Cambria Math"/>
              <w:sz w:val="22"/>
            </w:rPr>
            <m:t>+ β5</m:t>
          </m:r>
          <m:d>
            <m:dPr>
              <m:ctrlPr>
                <w:rPr>
                  <w:rFonts w:ascii="Cambria Math" w:eastAsia="Cambria Math" w:hAnsi="Cambria Math" w:cs="Cambria Math"/>
                  <w:sz w:val="22"/>
                </w:rPr>
              </m:ctrlPr>
            </m:dPr>
            <m:e>
              <m:r>
                <w:rPr>
                  <w:rFonts w:ascii="Cambria Math" w:eastAsia="Cambria Math" w:hAnsi="Cambria Math" w:cs="Cambria Math"/>
                  <w:sz w:val="22"/>
                </w:rPr>
                <m:t>CPP</m:t>
              </m:r>
            </m:e>
          </m:d>
          <m:r>
            <w:rPr>
              <w:rFonts w:ascii="Cambria Math" w:eastAsia="Cambria Math" w:hAnsi="Cambria Math" w:cs="Cambria Math"/>
              <w:sz w:val="22"/>
            </w:rPr>
            <m:t>+ β6</m:t>
          </m:r>
          <m:d>
            <m:dPr>
              <m:ctrlPr>
                <w:rPr>
                  <w:rFonts w:ascii="Cambria Math" w:eastAsia="Cambria Math" w:hAnsi="Cambria Math" w:cs="Cambria Math"/>
                  <w:sz w:val="22"/>
                </w:rPr>
              </m:ctrlPr>
            </m:dPr>
            <m:e>
              <m:r>
                <w:rPr>
                  <w:rFonts w:ascii="Cambria Math" w:eastAsia="Cambria Math" w:hAnsi="Cambria Math" w:cs="Cambria Math"/>
                  <w:sz w:val="22"/>
                </w:rPr>
                <m:t>FT</m:t>
              </m:r>
            </m:e>
          </m:d>
          <m:r>
            <w:rPr>
              <w:rFonts w:ascii="Cambria Math" w:eastAsia="Cambria Math" w:hAnsi="Cambria Math" w:cs="Cambria Math"/>
              <w:sz w:val="22"/>
            </w:rPr>
            <m:t>+e</m:t>
          </m:r>
        </m:oMath>
      </m:oMathPara>
    </w:p>
    <w:p w14:paraId="104937A7" w14:textId="534450EF" w:rsidR="00503AD6" w:rsidRPr="000C62D7" w:rsidRDefault="00503AD6" w:rsidP="004200F8">
      <w:pPr>
        <w:widowControl w:val="0"/>
        <w:spacing w:line="240" w:lineRule="auto"/>
        <w:ind w:leftChars="0" w:left="0" w:firstLineChars="0" w:firstLine="0"/>
        <w:jc w:val="both"/>
        <w:rPr>
          <w:rFonts w:ascii="Calibri" w:hAnsi="Calibri" w:cs="Times New Roman"/>
          <w:bCs/>
          <w:sz w:val="22"/>
          <w:shd w:val="clear" w:color="auto" w:fill="F8F9FA"/>
        </w:rPr>
      </w:pPr>
    </w:p>
    <w:p w14:paraId="44E70814" w14:textId="79FD94FA" w:rsidR="00964199" w:rsidRPr="000C62D7" w:rsidRDefault="00964199" w:rsidP="00964199">
      <w:pPr>
        <w:widowControl w:val="0"/>
        <w:spacing w:line="240" w:lineRule="auto"/>
        <w:ind w:left="1" w:hanging="3"/>
        <w:rPr>
          <w:rFonts w:ascii="Garamond" w:eastAsia="Times New Roman" w:hAnsi="Garamond" w:cs="Times New Roman"/>
          <w:b/>
          <w:sz w:val="28"/>
          <w:szCs w:val="28"/>
          <w:shd w:val="clear" w:color="auto" w:fill="F8F9FA"/>
        </w:rPr>
      </w:pPr>
      <w:r w:rsidRPr="000C62D7">
        <w:rPr>
          <w:rFonts w:ascii="Garamond" w:eastAsia="Times New Roman" w:hAnsi="Garamond" w:cs="Times New Roman"/>
          <w:b/>
          <w:sz w:val="28"/>
          <w:szCs w:val="28"/>
          <w:shd w:val="clear" w:color="auto" w:fill="F8F9FA"/>
        </w:rPr>
        <w:t>Result and Discussion</w:t>
      </w:r>
    </w:p>
    <w:p w14:paraId="4903675C" w14:textId="77414ED9" w:rsidR="00964199" w:rsidRPr="000C62D7" w:rsidRDefault="00964199" w:rsidP="00E16967">
      <w:pPr>
        <w:pStyle w:val="BalloonText"/>
        <w:ind w:left="0" w:hanging="2"/>
      </w:pPr>
    </w:p>
    <w:p w14:paraId="7E7E7EA2" w14:textId="77777777" w:rsidR="004200F8" w:rsidRPr="000C62D7" w:rsidRDefault="004200F8" w:rsidP="004200F8">
      <w:pPr>
        <w:spacing w:line="240" w:lineRule="auto"/>
        <w:ind w:left="0" w:hanging="2"/>
        <w:jc w:val="both"/>
        <w:rPr>
          <w:rFonts w:ascii="Calibri" w:hAnsi="Calibri" w:cs="Calibri"/>
          <w:b/>
          <w:bCs/>
          <w:sz w:val="22"/>
        </w:rPr>
      </w:pPr>
      <w:r w:rsidRPr="000C62D7">
        <w:rPr>
          <w:rFonts w:ascii="Calibri" w:hAnsi="Calibri" w:cs="Calibri"/>
          <w:b/>
          <w:bCs/>
          <w:sz w:val="22"/>
        </w:rPr>
        <w:t>Panel Data Regression Model Selection</w:t>
      </w:r>
    </w:p>
    <w:p w14:paraId="1EE899CA" w14:textId="33CE829D" w:rsidR="002A7C84" w:rsidRPr="000C62D7" w:rsidRDefault="004200F8" w:rsidP="004200F8">
      <w:pPr>
        <w:spacing w:line="240" w:lineRule="auto"/>
        <w:ind w:left="0" w:hanging="2"/>
        <w:jc w:val="both"/>
        <w:rPr>
          <w:rFonts w:ascii="Calibri" w:hAnsi="Calibri" w:cs="Calibri"/>
          <w:sz w:val="22"/>
        </w:rPr>
      </w:pPr>
      <w:r w:rsidRPr="000C62D7">
        <w:rPr>
          <w:rFonts w:ascii="Calibri" w:hAnsi="Calibri" w:cs="Calibri"/>
          <w:sz w:val="22"/>
        </w:rPr>
        <w:t>The models used are the Common Effect Model (CEM), Fixed Effect Model (FEM), and Random Effect Model (REM). Three factors determine the selection of the right model. The best model for panel data analysis is the best of the three approach models above: the Chow test, the Hausman test, and the Lagrange Multiplier test.</w:t>
      </w:r>
    </w:p>
    <w:p w14:paraId="147590C3" w14:textId="7D3F4681" w:rsidR="004200F8" w:rsidRPr="000C62D7" w:rsidRDefault="004200F8" w:rsidP="004200F8">
      <w:pPr>
        <w:spacing w:line="240" w:lineRule="auto"/>
        <w:ind w:left="0" w:hanging="2"/>
        <w:jc w:val="both"/>
        <w:rPr>
          <w:rFonts w:ascii="Calibri" w:hAnsi="Calibri" w:cs="Calibri"/>
          <w:sz w:val="22"/>
        </w:rPr>
      </w:pPr>
    </w:p>
    <w:p w14:paraId="2576B11E" w14:textId="65462BC1" w:rsidR="004200F8" w:rsidRPr="000C62D7" w:rsidRDefault="004200F8" w:rsidP="0029545F">
      <w:pPr>
        <w:spacing w:line="360" w:lineRule="auto"/>
        <w:ind w:left="0" w:hanging="2"/>
        <w:rPr>
          <w:rFonts w:ascii="Calibri" w:eastAsia="Times New Roman" w:hAnsi="Calibri" w:cs="Calibri"/>
          <w:b/>
          <w:sz w:val="22"/>
        </w:rPr>
      </w:pPr>
      <w:r w:rsidRPr="000C62D7">
        <w:rPr>
          <w:rFonts w:ascii="Calibri" w:eastAsia="Times New Roman" w:hAnsi="Calibri" w:cs="Calibri"/>
          <w:b/>
          <w:sz w:val="22"/>
        </w:rPr>
        <w:t>Model Selection</w:t>
      </w:r>
      <w:sdt>
        <w:sdtPr>
          <w:rPr>
            <w:rFonts w:ascii="Calibri" w:hAnsi="Calibri" w:cs="Calibri"/>
            <w:sz w:val="22"/>
          </w:rPr>
          <w:tag w:val="goog_rdk_4"/>
          <w:id w:val="1377508076"/>
          <w:showingPlcHdr/>
        </w:sdtPr>
        <w:sdtContent>
          <w:r w:rsidR="00120B44" w:rsidRPr="000C62D7">
            <w:rPr>
              <w:rFonts w:ascii="Calibri" w:hAnsi="Calibri" w:cs="Calibri"/>
              <w:sz w:val="22"/>
            </w:rPr>
            <w:t xml:space="preserve">     </w:t>
          </w:r>
        </w:sdtContent>
      </w:sdt>
    </w:p>
    <w:tbl>
      <w:tblPr>
        <w:tblW w:w="8231" w:type="dxa"/>
        <w:jc w:val="center"/>
        <w:tblLayout w:type="fixed"/>
        <w:tblLook w:val="0400" w:firstRow="0" w:lastRow="0" w:firstColumn="0" w:lastColumn="0" w:noHBand="0" w:noVBand="1"/>
      </w:tblPr>
      <w:tblGrid>
        <w:gridCol w:w="4117"/>
        <w:gridCol w:w="2078"/>
        <w:gridCol w:w="2036"/>
      </w:tblGrid>
      <w:tr w:rsidR="004200F8" w:rsidRPr="000C62D7" w14:paraId="61E758F4" w14:textId="77777777" w:rsidTr="005C5F15">
        <w:trPr>
          <w:trHeight w:val="20"/>
          <w:jc w:val="center"/>
        </w:trPr>
        <w:tc>
          <w:tcPr>
            <w:tcW w:w="4117" w:type="dxa"/>
            <w:tcBorders>
              <w:top w:val="single" w:sz="4" w:space="0" w:color="auto"/>
              <w:bottom w:val="single" w:sz="4" w:space="0" w:color="auto"/>
            </w:tcBorders>
            <w:vAlign w:val="center"/>
          </w:tcPr>
          <w:p w14:paraId="55759733" w14:textId="77777777" w:rsidR="004200F8" w:rsidRPr="000C62D7" w:rsidRDefault="004200F8" w:rsidP="005C5F15">
            <w:pPr>
              <w:spacing w:line="240" w:lineRule="auto"/>
              <w:ind w:left="0" w:hanging="2"/>
              <w:rPr>
                <w:rFonts w:ascii="Calibri" w:eastAsia="Times New Roman" w:hAnsi="Calibri" w:cs="Calibri"/>
                <w:b/>
                <w:szCs w:val="20"/>
              </w:rPr>
            </w:pPr>
            <w:r w:rsidRPr="000C62D7">
              <w:rPr>
                <w:rFonts w:ascii="Calibri" w:eastAsia="Times New Roman" w:hAnsi="Calibri" w:cs="Calibri"/>
                <w:b/>
                <w:szCs w:val="20"/>
              </w:rPr>
              <w:t>Testing</w:t>
            </w:r>
          </w:p>
        </w:tc>
        <w:tc>
          <w:tcPr>
            <w:tcW w:w="2078" w:type="dxa"/>
            <w:tcBorders>
              <w:top w:val="single" w:sz="4" w:space="0" w:color="auto"/>
              <w:bottom w:val="single" w:sz="4" w:space="0" w:color="auto"/>
            </w:tcBorders>
            <w:vAlign w:val="center"/>
          </w:tcPr>
          <w:p w14:paraId="1B366E6C" w14:textId="77777777" w:rsidR="004200F8" w:rsidRPr="000C62D7" w:rsidRDefault="004200F8" w:rsidP="005C5F15">
            <w:pPr>
              <w:spacing w:line="240" w:lineRule="auto"/>
              <w:ind w:left="0" w:hanging="2"/>
              <w:rPr>
                <w:rFonts w:ascii="Calibri" w:eastAsia="Times New Roman" w:hAnsi="Calibri" w:cs="Calibri"/>
                <w:b/>
                <w:szCs w:val="20"/>
              </w:rPr>
            </w:pPr>
            <w:r w:rsidRPr="000C62D7">
              <w:rPr>
                <w:rFonts w:ascii="Calibri" w:eastAsia="Times New Roman" w:hAnsi="Calibri" w:cs="Calibri"/>
                <w:b/>
                <w:szCs w:val="20"/>
              </w:rPr>
              <w:t>Result</w:t>
            </w:r>
          </w:p>
        </w:tc>
        <w:tc>
          <w:tcPr>
            <w:tcW w:w="2036" w:type="dxa"/>
            <w:tcBorders>
              <w:top w:val="single" w:sz="4" w:space="0" w:color="auto"/>
              <w:bottom w:val="single" w:sz="4" w:space="0" w:color="auto"/>
            </w:tcBorders>
            <w:vAlign w:val="center"/>
          </w:tcPr>
          <w:p w14:paraId="1236F87C" w14:textId="77777777" w:rsidR="004200F8" w:rsidRPr="000C62D7" w:rsidRDefault="004200F8" w:rsidP="005C5F15">
            <w:pPr>
              <w:spacing w:line="240" w:lineRule="auto"/>
              <w:ind w:left="0" w:hanging="2"/>
              <w:rPr>
                <w:rFonts w:ascii="Calibri" w:eastAsia="Times New Roman" w:hAnsi="Calibri" w:cs="Calibri"/>
                <w:b/>
                <w:szCs w:val="20"/>
              </w:rPr>
            </w:pPr>
            <w:r w:rsidRPr="000C62D7">
              <w:rPr>
                <w:rFonts w:ascii="Calibri" w:eastAsia="Times New Roman" w:hAnsi="Calibri" w:cs="Calibri"/>
                <w:b/>
                <w:szCs w:val="20"/>
              </w:rPr>
              <w:t>Conclusion</w:t>
            </w:r>
          </w:p>
        </w:tc>
      </w:tr>
      <w:tr w:rsidR="004200F8" w:rsidRPr="000C62D7" w14:paraId="6C5B24D4" w14:textId="77777777" w:rsidTr="005C5F15">
        <w:trPr>
          <w:trHeight w:val="20"/>
          <w:jc w:val="center"/>
        </w:trPr>
        <w:tc>
          <w:tcPr>
            <w:tcW w:w="4117" w:type="dxa"/>
            <w:vMerge w:val="restart"/>
            <w:tcBorders>
              <w:top w:val="single" w:sz="4" w:space="0" w:color="auto"/>
            </w:tcBorders>
            <w:vAlign w:val="center"/>
          </w:tcPr>
          <w:p w14:paraId="034C736B" w14:textId="77777777" w:rsidR="004200F8" w:rsidRPr="000C62D7" w:rsidRDefault="004200F8" w:rsidP="005C5F15">
            <w:pPr>
              <w:spacing w:line="240" w:lineRule="auto"/>
              <w:ind w:left="0" w:hanging="2"/>
              <w:jc w:val="both"/>
              <w:rPr>
                <w:rFonts w:ascii="Calibri" w:eastAsia="Times New Roman" w:hAnsi="Calibri" w:cs="Calibri"/>
                <w:szCs w:val="20"/>
              </w:rPr>
            </w:pPr>
            <w:r w:rsidRPr="000C62D7">
              <w:rPr>
                <w:rFonts w:ascii="Calibri" w:eastAsia="Times New Roman" w:hAnsi="Calibri" w:cs="Calibri"/>
                <w:szCs w:val="20"/>
              </w:rPr>
              <w:t>Chow Test</w:t>
            </w:r>
          </w:p>
        </w:tc>
        <w:tc>
          <w:tcPr>
            <w:tcW w:w="2078" w:type="dxa"/>
            <w:tcBorders>
              <w:top w:val="single" w:sz="4" w:space="0" w:color="auto"/>
            </w:tcBorders>
            <w:vAlign w:val="center"/>
          </w:tcPr>
          <w:p w14:paraId="26F47D21" w14:textId="77777777" w:rsidR="004200F8" w:rsidRPr="000C62D7" w:rsidRDefault="004200F8" w:rsidP="005C5F15">
            <w:pPr>
              <w:spacing w:line="240" w:lineRule="auto"/>
              <w:ind w:left="0" w:hanging="2"/>
              <w:jc w:val="both"/>
              <w:rPr>
                <w:rFonts w:ascii="Calibri" w:eastAsia="Times New Roman" w:hAnsi="Calibri" w:cs="Calibri"/>
                <w:szCs w:val="20"/>
              </w:rPr>
            </w:pPr>
            <w:r w:rsidRPr="000C62D7">
              <w:rPr>
                <w:rFonts w:ascii="Calibri" w:eastAsia="Times New Roman" w:hAnsi="Calibri" w:cs="Calibri"/>
                <w:szCs w:val="20"/>
              </w:rPr>
              <w:t>Prob &gt; 0.05</w:t>
            </w:r>
          </w:p>
        </w:tc>
        <w:tc>
          <w:tcPr>
            <w:tcW w:w="2036" w:type="dxa"/>
            <w:tcBorders>
              <w:top w:val="single" w:sz="4" w:space="0" w:color="auto"/>
            </w:tcBorders>
            <w:vAlign w:val="center"/>
          </w:tcPr>
          <w:p w14:paraId="0C7129BE" w14:textId="77777777" w:rsidR="004200F8" w:rsidRPr="000C62D7" w:rsidRDefault="004200F8" w:rsidP="005C5F15">
            <w:pPr>
              <w:spacing w:line="240" w:lineRule="auto"/>
              <w:ind w:left="0" w:hanging="2"/>
              <w:jc w:val="both"/>
              <w:rPr>
                <w:rFonts w:ascii="Calibri" w:eastAsia="Times New Roman" w:hAnsi="Calibri" w:cs="Calibri"/>
                <w:szCs w:val="20"/>
              </w:rPr>
            </w:pPr>
            <w:r w:rsidRPr="000C62D7">
              <w:rPr>
                <w:rFonts w:ascii="Calibri" w:eastAsia="Times New Roman" w:hAnsi="Calibri" w:cs="Calibri"/>
                <w:szCs w:val="20"/>
              </w:rPr>
              <w:t>EMC</w:t>
            </w:r>
          </w:p>
        </w:tc>
      </w:tr>
      <w:tr w:rsidR="004200F8" w:rsidRPr="000C62D7" w14:paraId="58D40545" w14:textId="77777777" w:rsidTr="005C5F15">
        <w:trPr>
          <w:trHeight w:val="20"/>
          <w:jc w:val="center"/>
        </w:trPr>
        <w:tc>
          <w:tcPr>
            <w:tcW w:w="4117" w:type="dxa"/>
            <w:vMerge/>
            <w:vAlign w:val="center"/>
          </w:tcPr>
          <w:p w14:paraId="7FA0CBCD" w14:textId="77777777" w:rsidR="004200F8" w:rsidRPr="000C62D7" w:rsidRDefault="004200F8" w:rsidP="005C5F15">
            <w:pPr>
              <w:widowControl w:val="0"/>
              <w:pBdr>
                <w:top w:val="nil"/>
                <w:left w:val="nil"/>
                <w:bottom w:val="nil"/>
                <w:right w:val="nil"/>
                <w:between w:val="nil"/>
              </w:pBdr>
              <w:spacing w:line="240" w:lineRule="auto"/>
              <w:ind w:left="0" w:hanging="2"/>
              <w:rPr>
                <w:rFonts w:ascii="Calibri" w:eastAsia="Times New Roman" w:hAnsi="Calibri" w:cs="Calibri"/>
                <w:szCs w:val="20"/>
              </w:rPr>
            </w:pPr>
          </w:p>
        </w:tc>
        <w:tc>
          <w:tcPr>
            <w:tcW w:w="2078" w:type="dxa"/>
            <w:vAlign w:val="center"/>
          </w:tcPr>
          <w:p w14:paraId="56B7822A" w14:textId="77777777" w:rsidR="004200F8" w:rsidRPr="000C62D7" w:rsidRDefault="004200F8" w:rsidP="005C5F15">
            <w:pPr>
              <w:spacing w:line="240" w:lineRule="auto"/>
              <w:ind w:left="0" w:hanging="2"/>
              <w:jc w:val="both"/>
              <w:rPr>
                <w:rFonts w:ascii="Calibri" w:eastAsia="Times New Roman" w:hAnsi="Calibri" w:cs="Calibri"/>
                <w:b/>
                <w:szCs w:val="20"/>
              </w:rPr>
            </w:pPr>
            <w:r w:rsidRPr="000C62D7">
              <w:rPr>
                <w:rFonts w:ascii="Calibri" w:eastAsia="Times New Roman" w:hAnsi="Calibri" w:cs="Calibri"/>
                <w:b/>
                <w:szCs w:val="20"/>
              </w:rPr>
              <w:t>Prob &lt; 0.05</w:t>
            </w:r>
          </w:p>
        </w:tc>
        <w:tc>
          <w:tcPr>
            <w:tcW w:w="2036" w:type="dxa"/>
            <w:vAlign w:val="center"/>
          </w:tcPr>
          <w:p w14:paraId="5909677D" w14:textId="77777777" w:rsidR="004200F8" w:rsidRPr="000C62D7" w:rsidRDefault="004200F8" w:rsidP="005C5F15">
            <w:pPr>
              <w:spacing w:line="240" w:lineRule="auto"/>
              <w:ind w:left="0" w:hanging="2"/>
              <w:jc w:val="both"/>
              <w:rPr>
                <w:rFonts w:ascii="Calibri" w:eastAsia="Times New Roman" w:hAnsi="Calibri" w:cs="Calibri"/>
                <w:b/>
                <w:szCs w:val="20"/>
              </w:rPr>
            </w:pPr>
            <w:r w:rsidRPr="000C62D7">
              <w:rPr>
                <w:rFonts w:ascii="Calibri" w:eastAsia="Times New Roman" w:hAnsi="Calibri" w:cs="Calibri"/>
                <w:b/>
                <w:szCs w:val="20"/>
              </w:rPr>
              <w:t>FEM</w:t>
            </w:r>
          </w:p>
        </w:tc>
      </w:tr>
      <w:tr w:rsidR="004200F8" w:rsidRPr="000C62D7" w14:paraId="559AA0AB" w14:textId="77777777" w:rsidTr="005C5F15">
        <w:trPr>
          <w:trHeight w:val="20"/>
          <w:jc w:val="center"/>
        </w:trPr>
        <w:tc>
          <w:tcPr>
            <w:tcW w:w="4117" w:type="dxa"/>
            <w:vMerge w:val="restart"/>
            <w:tcBorders>
              <w:bottom w:val="single" w:sz="4" w:space="0" w:color="auto"/>
            </w:tcBorders>
            <w:vAlign w:val="center"/>
          </w:tcPr>
          <w:p w14:paraId="58DB0041" w14:textId="77777777" w:rsidR="004200F8" w:rsidRPr="000C62D7" w:rsidRDefault="004200F8" w:rsidP="005C5F15">
            <w:pPr>
              <w:spacing w:line="240" w:lineRule="auto"/>
              <w:ind w:left="0" w:hanging="2"/>
              <w:jc w:val="both"/>
              <w:rPr>
                <w:rFonts w:ascii="Calibri" w:eastAsia="Times New Roman" w:hAnsi="Calibri" w:cs="Calibri"/>
                <w:szCs w:val="20"/>
              </w:rPr>
            </w:pPr>
            <w:r w:rsidRPr="000C62D7">
              <w:rPr>
                <w:rFonts w:ascii="Calibri" w:eastAsia="Times New Roman" w:hAnsi="Calibri" w:cs="Calibri"/>
                <w:szCs w:val="20"/>
              </w:rPr>
              <w:t>Hausman Test</w:t>
            </w:r>
          </w:p>
        </w:tc>
        <w:tc>
          <w:tcPr>
            <w:tcW w:w="2078" w:type="dxa"/>
            <w:vAlign w:val="center"/>
          </w:tcPr>
          <w:p w14:paraId="64A5B5CC" w14:textId="77777777" w:rsidR="004200F8" w:rsidRPr="000C62D7" w:rsidRDefault="004200F8" w:rsidP="005C5F15">
            <w:pPr>
              <w:spacing w:line="240" w:lineRule="auto"/>
              <w:ind w:left="0" w:hanging="2"/>
              <w:jc w:val="both"/>
              <w:rPr>
                <w:rFonts w:ascii="Calibri" w:eastAsia="Times New Roman" w:hAnsi="Calibri" w:cs="Calibri"/>
                <w:szCs w:val="20"/>
              </w:rPr>
            </w:pPr>
            <w:r w:rsidRPr="000C62D7">
              <w:rPr>
                <w:rFonts w:ascii="Calibri" w:eastAsia="Times New Roman" w:hAnsi="Calibri" w:cs="Calibri"/>
                <w:szCs w:val="20"/>
              </w:rPr>
              <w:t>Prob &gt; 0.05</w:t>
            </w:r>
          </w:p>
        </w:tc>
        <w:tc>
          <w:tcPr>
            <w:tcW w:w="2036" w:type="dxa"/>
            <w:vAlign w:val="center"/>
          </w:tcPr>
          <w:p w14:paraId="443C3A70" w14:textId="77777777" w:rsidR="004200F8" w:rsidRPr="000C62D7" w:rsidRDefault="004200F8" w:rsidP="005C5F15">
            <w:pPr>
              <w:spacing w:line="240" w:lineRule="auto"/>
              <w:ind w:left="0" w:hanging="2"/>
              <w:jc w:val="both"/>
              <w:rPr>
                <w:rFonts w:ascii="Calibri" w:eastAsia="Times New Roman" w:hAnsi="Calibri" w:cs="Calibri"/>
                <w:szCs w:val="20"/>
              </w:rPr>
            </w:pPr>
            <w:r w:rsidRPr="000C62D7">
              <w:rPr>
                <w:rFonts w:ascii="Calibri" w:eastAsia="Times New Roman" w:hAnsi="Calibri" w:cs="Calibri"/>
                <w:szCs w:val="20"/>
              </w:rPr>
              <w:t>BRAKE</w:t>
            </w:r>
          </w:p>
        </w:tc>
      </w:tr>
      <w:tr w:rsidR="004200F8" w:rsidRPr="000C62D7" w14:paraId="62251134" w14:textId="77777777" w:rsidTr="005C5F15">
        <w:trPr>
          <w:trHeight w:val="20"/>
          <w:jc w:val="center"/>
        </w:trPr>
        <w:tc>
          <w:tcPr>
            <w:tcW w:w="4117" w:type="dxa"/>
            <w:vMerge/>
            <w:tcBorders>
              <w:bottom w:val="single" w:sz="4" w:space="0" w:color="auto"/>
            </w:tcBorders>
            <w:vAlign w:val="center"/>
          </w:tcPr>
          <w:p w14:paraId="2812B2FD" w14:textId="77777777" w:rsidR="004200F8" w:rsidRPr="000C62D7" w:rsidRDefault="004200F8" w:rsidP="005C5F15">
            <w:pPr>
              <w:widowControl w:val="0"/>
              <w:pBdr>
                <w:top w:val="nil"/>
                <w:left w:val="nil"/>
                <w:bottom w:val="nil"/>
                <w:right w:val="nil"/>
                <w:between w:val="nil"/>
              </w:pBdr>
              <w:spacing w:line="240" w:lineRule="auto"/>
              <w:ind w:left="0" w:hanging="2"/>
              <w:rPr>
                <w:rFonts w:ascii="Calibri" w:eastAsia="Times New Roman" w:hAnsi="Calibri" w:cs="Calibri"/>
                <w:szCs w:val="20"/>
              </w:rPr>
            </w:pPr>
          </w:p>
        </w:tc>
        <w:tc>
          <w:tcPr>
            <w:tcW w:w="2078" w:type="dxa"/>
            <w:tcBorders>
              <w:bottom w:val="single" w:sz="4" w:space="0" w:color="auto"/>
            </w:tcBorders>
            <w:vAlign w:val="center"/>
          </w:tcPr>
          <w:p w14:paraId="706958D7" w14:textId="77777777" w:rsidR="004200F8" w:rsidRPr="000C62D7" w:rsidRDefault="004200F8" w:rsidP="005C5F15">
            <w:pPr>
              <w:spacing w:line="240" w:lineRule="auto"/>
              <w:ind w:left="0" w:hanging="2"/>
              <w:jc w:val="both"/>
              <w:rPr>
                <w:rFonts w:ascii="Calibri" w:eastAsia="Times New Roman" w:hAnsi="Calibri" w:cs="Calibri"/>
                <w:b/>
                <w:szCs w:val="20"/>
              </w:rPr>
            </w:pPr>
            <w:r w:rsidRPr="000C62D7">
              <w:rPr>
                <w:rFonts w:ascii="Calibri" w:eastAsia="Times New Roman" w:hAnsi="Calibri" w:cs="Calibri"/>
                <w:b/>
                <w:szCs w:val="20"/>
              </w:rPr>
              <w:t>Prob &lt; 0.05</w:t>
            </w:r>
          </w:p>
        </w:tc>
        <w:tc>
          <w:tcPr>
            <w:tcW w:w="2036" w:type="dxa"/>
            <w:tcBorders>
              <w:bottom w:val="single" w:sz="4" w:space="0" w:color="auto"/>
            </w:tcBorders>
            <w:vAlign w:val="center"/>
          </w:tcPr>
          <w:p w14:paraId="14823482" w14:textId="77777777" w:rsidR="004200F8" w:rsidRPr="000C62D7" w:rsidRDefault="004200F8" w:rsidP="005C5F15">
            <w:pPr>
              <w:spacing w:line="240" w:lineRule="auto"/>
              <w:ind w:left="0" w:hanging="2"/>
              <w:jc w:val="both"/>
              <w:rPr>
                <w:rFonts w:ascii="Calibri" w:eastAsia="Times New Roman" w:hAnsi="Calibri" w:cs="Calibri"/>
                <w:b/>
                <w:szCs w:val="20"/>
              </w:rPr>
            </w:pPr>
            <w:r w:rsidRPr="000C62D7">
              <w:rPr>
                <w:rFonts w:ascii="Calibri" w:eastAsia="Times New Roman" w:hAnsi="Calibri" w:cs="Calibri"/>
                <w:b/>
                <w:szCs w:val="20"/>
              </w:rPr>
              <w:t>FEM</w:t>
            </w:r>
          </w:p>
        </w:tc>
      </w:tr>
    </w:tbl>
    <w:p w14:paraId="4311D7A6" w14:textId="77A66622" w:rsidR="004200F8" w:rsidRPr="000C62D7" w:rsidRDefault="004200F8" w:rsidP="004200F8">
      <w:pPr>
        <w:spacing w:line="360" w:lineRule="auto"/>
        <w:ind w:left="0" w:hanging="2"/>
        <w:jc w:val="both"/>
        <w:rPr>
          <w:rFonts w:ascii="Times New Roman" w:eastAsia="Times New Roman" w:hAnsi="Times New Roman" w:cs="Times New Roman"/>
          <w:sz w:val="24"/>
          <w:szCs w:val="24"/>
        </w:rPr>
      </w:pPr>
    </w:p>
    <w:p w14:paraId="64613185" w14:textId="77777777" w:rsidR="0029545F" w:rsidRPr="000C62D7" w:rsidRDefault="0029545F" w:rsidP="0029545F">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 xml:space="preserve">The results of the Chow test in Table 4.5 show that the probability value of the chi-square cross-section (0.00 &lt; 0.05) is lower than the significance level, meaning that H0 is accepted, and the Fixed Effect Model (FEM) was selected as the temporary regression model in this study. To choose between the right Fixed Effect Model (FEM) and Random Effect Model (REM), additional testing is required using a thirst test. The results of the thirst test in Table 4.6 show a random cross-section probability value of 0.0160 &lt; 0.05, showing that H0 is accepted as the selected Fixed Effect Model (FEM); this shows that the Fixed Effect Model (FEM) is the most appropriate model for this study. </w:t>
      </w:r>
    </w:p>
    <w:p w14:paraId="7FB5B273" w14:textId="77777777" w:rsidR="0029545F" w:rsidRPr="000C62D7" w:rsidRDefault="0029545F" w:rsidP="0029545F">
      <w:pPr>
        <w:spacing w:line="240" w:lineRule="auto"/>
        <w:ind w:left="0" w:hanging="2"/>
        <w:jc w:val="both"/>
        <w:rPr>
          <w:rFonts w:ascii="Calibri" w:eastAsia="Times New Roman" w:hAnsi="Calibri" w:cs="Calibri"/>
          <w:sz w:val="22"/>
        </w:rPr>
      </w:pPr>
    </w:p>
    <w:p w14:paraId="788BDEA2" w14:textId="4CD7D8C4" w:rsidR="0029545F" w:rsidRPr="000C62D7" w:rsidRDefault="0029545F" w:rsidP="0029545F">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 xml:space="preserve">The results of the determination coefficient (R2) test of the Adjusted R-squared value of 0.43, this value states that the percentage of financial stability, independent board of commissioners, auditor disputes, change of directors, and CEO profile picture can affect financial statement fraud by only 43%, other factors outside the variables studied explain the remaining 57%. Descriptive statistics determine how the data is distributed to justify the research results. The Fraud variable financial statement fraud financial statements show a range of the lowest value of 0.12 and the highest value of 3.09. The average value of financial statement fraud, 1.01, is close to the lowest value of 0.12, which shows that most SOE companies do not commit financial statement fraud. A standard deviation value of 1.04, higher than the average of 1.01, indicates that the data spread widely. The financial stability variable shows the highest value range of 1.98 and the lowest value of 0.04. An average value of financial stability of 0.38 indicates that the average value is close to the lowest value, which indicates that the company has a relatively small asset change value. A standard deviation value of 0.27, smaller than the average, indicates that the data distribution is not widely dispersed. The variables of the independent board of commissioners showed the highest score of 2.23 and the lowest score of 1.00. The average score of the Independent Board of Commissioners is 1.59, which is close to the lowest value, meaning that the Independent Board of Commissioners has a small percentage. The standard deviation value of 0.30 indicates that it is smaller than the average value, meaning the data distribution is not widely dispersed. The auditor turnover variable showed the highest value of 1.00 and the lowest value of 0.00 with an average value of 0.74, which is close to the highest value, indicating auditor turnover occurring every year and showing that state-owned companies have a reasonably high tendency to change auditors. A standard deviation value of 0.438, smaller than the average, indicates that the data distribution is not widely dispersed. </w:t>
      </w:r>
    </w:p>
    <w:p w14:paraId="0FA3C5FD" w14:textId="77777777" w:rsidR="0029545F" w:rsidRPr="000C62D7" w:rsidRDefault="0029545F" w:rsidP="0029545F">
      <w:pPr>
        <w:spacing w:line="240" w:lineRule="auto"/>
        <w:ind w:left="0" w:hanging="2"/>
        <w:jc w:val="both"/>
        <w:rPr>
          <w:rFonts w:ascii="Calibri" w:eastAsia="Times New Roman" w:hAnsi="Calibri" w:cs="Calibri"/>
          <w:sz w:val="22"/>
        </w:rPr>
      </w:pPr>
    </w:p>
    <w:p w14:paraId="56456911" w14:textId="3B8098EF" w:rsidR="009F4D21" w:rsidRPr="000C62D7" w:rsidRDefault="0029545F" w:rsidP="007B2FF9">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The variable Turnover of directors shows the highest value of 1.00 and the lowest value of 0.00 with an average value of 0.71, indicating that the average value is close to the highest value, which means that the company has a reasonably high tendency to change directors. A standard deviation of 0.919, smaller than the average value, indicates that the data is not widely dispersed. The CEO profile picture variable shows the highest value of 6.00. A low of 2.00 with an average value of 3.18 indicates that the average value is close to the middle value, which means that most companies have relatively high and low CEO profile picture ratings. A standard deviation value of 0.919, smaller than the mean value, indicates that the data distribution is not widely dispersed. The financial control variable of the target shows the highest value of 0.77 and the lowest of 0.01, with the average value of 0.18, indicating the average value is close to the lowest value, which means that most of the company has not reached its financial targets. A standard deviation value of 0.14, smaller than the average value, indicates that the data distribution is not widely dispersed.</w:t>
      </w:r>
    </w:p>
    <w:p w14:paraId="4F77DDCB" w14:textId="52FCDB44" w:rsidR="007B2FF9" w:rsidRPr="000C62D7" w:rsidRDefault="007B2FF9" w:rsidP="007B2FF9">
      <w:pPr>
        <w:spacing w:line="240" w:lineRule="auto"/>
        <w:ind w:left="0" w:hanging="2"/>
        <w:jc w:val="both"/>
        <w:rPr>
          <w:rFonts w:ascii="Calibri" w:eastAsia="Times New Roman" w:hAnsi="Calibri" w:cs="Calibri"/>
          <w:sz w:val="22"/>
        </w:rPr>
      </w:pPr>
    </w:p>
    <w:p w14:paraId="1D270DA6" w14:textId="77777777" w:rsidR="007B2FF9" w:rsidRPr="000C62D7" w:rsidRDefault="007B2FF9" w:rsidP="007B2FF9">
      <w:pPr>
        <w:keepNext/>
        <w:pBdr>
          <w:top w:val="nil"/>
          <w:left w:val="nil"/>
          <w:bottom w:val="nil"/>
          <w:right w:val="nil"/>
          <w:between w:val="nil"/>
        </w:pBdr>
        <w:spacing w:line="240" w:lineRule="auto"/>
        <w:ind w:left="0" w:hanging="2"/>
        <w:rPr>
          <w:rFonts w:ascii="Calibri" w:eastAsia="Times New Roman" w:hAnsi="Calibri" w:cs="Calibri"/>
          <w:color w:val="000000"/>
          <w:sz w:val="22"/>
        </w:rPr>
      </w:pPr>
      <w:r w:rsidRPr="000C62D7">
        <w:rPr>
          <w:rFonts w:ascii="Calibri" w:eastAsia="Times New Roman" w:hAnsi="Calibri" w:cs="Calibri"/>
          <w:color w:val="000000"/>
          <w:sz w:val="22"/>
        </w:rPr>
        <w:t>Table 1 Descriptive Statistics</w:t>
      </w:r>
    </w:p>
    <w:tbl>
      <w:tblPr>
        <w:tblW w:w="8942" w:type="dxa"/>
        <w:jc w:val="center"/>
        <w:tblLayout w:type="fixed"/>
        <w:tblLook w:val="0000" w:firstRow="0" w:lastRow="0" w:firstColumn="0" w:lastColumn="0" w:noHBand="0" w:noVBand="0"/>
      </w:tblPr>
      <w:tblGrid>
        <w:gridCol w:w="1843"/>
        <w:gridCol w:w="1016"/>
        <w:gridCol w:w="1016"/>
        <w:gridCol w:w="1016"/>
        <w:gridCol w:w="1016"/>
        <w:gridCol w:w="1016"/>
        <w:gridCol w:w="1016"/>
        <w:gridCol w:w="1003"/>
      </w:tblGrid>
      <w:tr w:rsidR="007B2FF9" w:rsidRPr="000C62D7" w14:paraId="61BDDAEA" w14:textId="77777777" w:rsidTr="0013488D">
        <w:trPr>
          <w:trHeight w:val="204"/>
          <w:jc w:val="center"/>
        </w:trPr>
        <w:tc>
          <w:tcPr>
            <w:tcW w:w="1843" w:type="dxa"/>
            <w:tcBorders>
              <w:top w:val="single" w:sz="4" w:space="0" w:color="auto"/>
              <w:bottom w:val="single" w:sz="4" w:space="0" w:color="auto"/>
            </w:tcBorders>
            <w:vAlign w:val="bottom"/>
          </w:tcPr>
          <w:p w14:paraId="7E435385" w14:textId="77777777" w:rsidR="007B2FF9" w:rsidRPr="000C62D7" w:rsidRDefault="007B2FF9" w:rsidP="004D6359">
            <w:pPr>
              <w:spacing w:line="240" w:lineRule="auto"/>
              <w:ind w:left="0" w:hanging="2"/>
              <w:rPr>
                <w:rFonts w:ascii="Calibri" w:eastAsia="Times New Roman" w:hAnsi="Calibri" w:cs="Calibri"/>
                <w:color w:val="000000"/>
                <w:szCs w:val="20"/>
              </w:rPr>
            </w:pPr>
            <w:bookmarkStart w:id="0" w:name="_heading=h.2s8eyo1" w:colFirst="0" w:colLast="0"/>
            <w:bookmarkEnd w:id="0"/>
          </w:p>
        </w:tc>
        <w:tc>
          <w:tcPr>
            <w:tcW w:w="1016" w:type="dxa"/>
            <w:tcBorders>
              <w:top w:val="single" w:sz="4" w:space="0" w:color="auto"/>
              <w:bottom w:val="single" w:sz="4" w:space="0" w:color="auto"/>
            </w:tcBorders>
            <w:vAlign w:val="bottom"/>
          </w:tcPr>
          <w:p w14:paraId="77E81AB0"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FLK</w:t>
            </w:r>
          </w:p>
        </w:tc>
        <w:tc>
          <w:tcPr>
            <w:tcW w:w="1016" w:type="dxa"/>
            <w:tcBorders>
              <w:top w:val="single" w:sz="4" w:space="0" w:color="auto"/>
              <w:bottom w:val="single" w:sz="4" w:space="0" w:color="auto"/>
            </w:tcBorders>
            <w:vAlign w:val="bottom"/>
          </w:tcPr>
          <w:p w14:paraId="1E54B811"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FS</w:t>
            </w:r>
          </w:p>
        </w:tc>
        <w:tc>
          <w:tcPr>
            <w:tcW w:w="1016" w:type="dxa"/>
            <w:tcBorders>
              <w:top w:val="single" w:sz="4" w:space="0" w:color="auto"/>
              <w:bottom w:val="single" w:sz="4" w:space="0" w:color="auto"/>
            </w:tcBorders>
            <w:vAlign w:val="bottom"/>
          </w:tcPr>
          <w:p w14:paraId="33262DD5"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DKI</w:t>
            </w:r>
          </w:p>
        </w:tc>
        <w:tc>
          <w:tcPr>
            <w:tcW w:w="1016" w:type="dxa"/>
            <w:tcBorders>
              <w:top w:val="single" w:sz="4" w:space="0" w:color="auto"/>
              <w:bottom w:val="single" w:sz="4" w:space="0" w:color="auto"/>
            </w:tcBorders>
            <w:vAlign w:val="bottom"/>
          </w:tcPr>
          <w:p w14:paraId="5AB90D0F"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PA</w:t>
            </w:r>
          </w:p>
        </w:tc>
        <w:tc>
          <w:tcPr>
            <w:tcW w:w="1016" w:type="dxa"/>
            <w:tcBorders>
              <w:top w:val="single" w:sz="4" w:space="0" w:color="auto"/>
              <w:bottom w:val="single" w:sz="4" w:space="0" w:color="auto"/>
            </w:tcBorders>
            <w:vAlign w:val="bottom"/>
          </w:tcPr>
          <w:p w14:paraId="0836D9A3"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PD</w:t>
            </w:r>
          </w:p>
        </w:tc>
        <w:tc>
          <w:tcPr>
            <w:tcW w:w="1016" w:type="dxa"/>
            <w:tcBorders>
              <w:top w:val="single" w:sz="4" w:space="0" w:color="auto"/>
              <w:bottom w:val="single" w:sz="4" w:space="0" w:color="auto"/>
            </w:tcBorders>
            <w:vAlign w:val="bottom"/>
          </w:tcPr>
          <w:p w14:paraId="3B47E5E2"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CPP</w:t>
            </w:r>
          </w:p>
        </w:tc>
        <w:tc>
          <w:tcPr>
            <w:tcW w:w="1003" w:type="dxa"/>
            <w:tcBorders>
              <w:top w:val="single" w:sz="4" w:space="0" w:color="auto"/>
              <w:bottom w:val="single" w:sz="4" w:space="0" w:color="auto"/>
            </w:tcBorders>
            <w:vAlign w:val="bottom"/>
          </w:tcPr>
          <w:p w14:paraId="504AD442"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FT</w:t>
            </w:r>
          </w:p>
        </w:tc>
      </w:tr>
      <w:tr w:rsidR="007B2FF9" w:rsidRPr="000C62D7" w14:paraId="3935A2FD" w14:textId="77777777" w:rsidTr="0013488D">
        <w:trPr>
          <w:trHeight w:val="204"/>
          <w:jc w:val="center"/>
        </w:trPr>
        <w:tc>
          <w:tcPr>
            <w:tcW w:w="1843" w:type="dxa"/>
            <w:tcBorders>
              <w:top w:val="single" w:sz="4" w:space="0" w:color="auto"/>
            </w:tcBorders>
            <w:vAlign w:val="bottom"/>
          </w:tcPr>
          <w:p w14:paraId="4B843546"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Mean</w:t>
            </w:r>
          </w:p>
        </w:tc>
        <w:tc>
          <w:tcPr>
            <w:tcW w:w="1016" w:type="dxa"/>
            <w:tcBorders>
              <w:top w:val="single" w:sz="4" w:space="0" w:color="auto"/>
            </w:tcBorders>
            <w:vAlign w:val="bottom"/>
          </w:tcPr>
          <w:p w14:paraId="29FC9858"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1,01</w:t>
            </w:r>
          </w:p>
        </w:tc>
        <w:tc>
          <w:tcPr>
            <w:tcW w:w="1016" w:type="dxa"/>
            <w:tcBorders>
              <w:top w:val="single" w:sz="4" w:space="0" w:color="auto"/>
            </w:tcBorders>
            <w:vAlign w:val="bottom"/>
          </w:tcPr>
          <w:p w14:paraId="5A6D409C"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0,38</w:t>
            </w:r>
          </w:p>
        </w:tc>
        <w:tc>
          <w:tcPr>
            <w:tcW w:w="1016" w:type="dxa"/>
            <w:tcBorders>
              <w:top w:val="single" w:sz="4" w:space="0" w:color="auto"/>
            </w:tcBorders>
            <w:vAlign w:val="bottom"/>
          </w:tcPr>
          <w:p w14:paraId="2C5475F1"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1,50</w:t>
            </w:r>
          </w:p>
        </w:tc>
        <w:tc>
          <w:tcPr>
            <w:tcW w:w="1016" w:type="dxa"/>
            <w:tcBorders>
              <w:top w:val="single" w:sz="4" w:space="0" w:color="auto"/>
            </w:tcBorders>
            <w:vAlign w:val="bottom"/>
          </w:tcPr>
          <w:p w14:paraId="3F3D6D27"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0,74</w:t>
            </w:r>
          </w:p>
        </w:tc>
        <w:tc>
          <w:tcPr>
            <w:tcW w:w="1016" w:type="dxa"/>
            <w:tcBorders>
              <w:top w:val="single" w:sz="4" w:space="0" w:color="auto"/>
            </w:tcBorders>
            <w:vAlign w:val="bottom"/>
          </w:tcPr>
          <w:p w14:paraId="32913966"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0,71</w:t>
            </w:r>
          </w:p>
        </w:tc>
        <w:tc>
          <w:tcPr>
            <w:tcW w:w="1016" w:type="dxa"/>
            <w:tcBorders>
              <w:top w:val="single" w:sz="4" w:space="0" w:color="auto"/>
            </w:tcBorders>
            <w:vAlign w:val="bottom"/>
          </w:tcPr>
          <w:p w14:paraId="0853DBCB"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3,18</w:t>
            </w:r>
          </w:p>
        </w:tc>
        <w:tc>
          <w:tcPr>
            <w:tcW w:w="1003" w:type="dxa"/>
            <w:tcBorders>
              <w:top w:val="single" w:sz="4" w:space="0" w:color="auto"/>
            </w:tcBorders>
            <w:vAlign w:val="bottom"/>
          </w:tcPr>
          <w:p w14:paraId="1423B724"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0,18</w:t>
            </w:r>
          </w:p>
        </w:tc>
      </w:tr>
      <w:tr w:rsidR="007B2FF9" w:rsidRPr="000C62D7" w14:paraId="675C3B05" w14:textId="77777777" w:rsidTr="0013488D">
        <w:trPr>
          <w:trHeight w:val="204"/>
          <w:jc w:val="center"/>
        </w:trPr>
        <w:tc>
          <w:tcPr>
            <w:tcW w:w="1843" w:type="dxa"/>
            <w:vAlign w:val="bottom"/>
          </w:tcPr>
          <w:p w14:paraId="59BAA59E"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Median</w:t>
            </w:r>
          </w:p>
        </w:tc>
        <w:tc>
          <w:tcPr>
            <w:tcW w:w="1016" w:type="dxa"/>
            <w:vAlign w:val="bottom"/>
          </w:tcPr>
          <w:p w14:paraId="687072D7"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0,98</w:t>
            </w:r>
          </w:p>
        </w:tc>
        <w:tc>
          <w:tcPr>
            <w:tcW w:w="1016" w:type="dxa"/>
            <w:vAlign w:val="bottom"/>
          </w:tcPr>
          <w:p w14:paraId="3CF29725"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0,31</w:t>
            </w:r>
          </w:p>
        </w:tc>
        <w:tc>
          <w:tcPr>
            <w:tcW w:w="1016" w:type="dxa"/>
            <w:vAlign w:val="bottom"/>
          </w:tcPr>
          <w:p w14:paraId="419D35A4"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1,48</w:t>
            </w:r>
          </w:p>
        </w:tc>
        <w:tc>
          <w:tcPr>
            <w:tcW w:w="1016" w:type="dxa"/>
            <w:vAlign w:val="bottom"/>
          </w:tcPr>
          <w:p w14:paraId="471FAE31"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1,00</w:t>
            </w:r>
          </w:p>
        </w:tc>
        <w:tc>
          <w:tcPr>
            <w:tcW w:w="1016" w:type="dxa"/>
            <w:vAlign w:val="bottom"/>
          </w:tcPr>
          <w:p w14:paraId="256A70EF"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1,00</w:t>
            </w:r>
          </w:p>
        </w:tc>
        <w:tc>
          <w:tcPr>
            <w:tcW w:w="1016" w:type="dxa"/>
            <w:vAlign w:val="bottom"/>
          </w:tcPr>
          <w:p w14:paraId="7F7B4036"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3,00</w:t>
            </w:r>
          </w:p>
        </w:tc>
        <w:tc>
          <w:tcPr>
            <w:tcW w:w="1003" w:type="dxa"/>
            <w:vAlign w:val="bottom"/>
          </w:tcPr>
          <w:p w14:paraId="365B4B15"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0,14</w:t>
            </w:r>
          </w:p>
        </w:tc>
      </w:tr>
      <w:tr w:rsidR="007B2FF9" w:rsidRPr="000C62D7" w14:paraId="418A2EC5" w14:textId="77777777" w:rsidTr="0013488D">
        <w:trPr>
          <w:trHeight w:val="204"/>
          <w:jc w:val="center"/>
        </w:trPr>
        <w:tc>
          <w:tcPr>
            <w:tcW w:w="1843" w:type="dxa"/>
            <w:vAlign w:val="bottom"/>
          </w:tcPr>
          <w:p w14:paraId="58511937"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Maximum</w:t>
            </w:r>
          </w:p>
        </w:tc>
        <w:tc>
          <w:tcPr>
            <w:tcW w:w="1016" w:type="dxa"/>
            <w:vAlign w:val="bottom"/>
          </w:tcPr>
          <w:p w14:paraId="3A412A1F"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3,09</w:t>
            </w:r>
          </w:p>
        </w:tc>
        <w:tc>
          <w:tcPr>
            <w:tcW w:w="1016" w:type="dxa"/>
            <w:vAlign w:val="bottom"/>
          </w:tcPr>
          <w:p w14:paraId="70F9CA9D"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1,98</w:t>
            </w:r>
          </w:p>
        </w:tc>
        <w:tc>
          <w:tcPr>
            <w:tcW w:w="1016" w:type="dxa"/>
            <w:vAlign w:val="bottom"/>
          </w:tcPr>
          <w:p w14:paraId="39DEE3B2"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2,23</w:t>
            </w:r>
          </w:p>
        </w:tc>
        <w:tc>
          <w:tcPr>
            <w:tcW w:w="1016" w:type="dxa"/>
            <w:vAlign w:val="bottom"/>
          </w:tcPr>
          <w:p w14:paraId="36D1E47A"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1,00</w:t>
            </w:r>
          </w:p>
        </w:tc>
        <w:tc>
          <w:tcPr>
            <w:tcW w:w="1016" w:type="dxa"/>
            <w:vAlign w:val="bottom"/>
          </w:tcPr>
          <w:p w14:paraId="2D36FABB"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1,00</w:t>
            </w:r>
          </w:p>
        </w:tc>
        <w:tc>
          <w:tcPr>
            <w:tcW w:w="1016" w:type="dxa"/>
            <w:vAlign w:val="bottom"/>
          </w:tcPr>
          <w:p w14:paraId="313DACAE"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6,00</w:t>
            </w:r>
          </w:p>
        </w:tc>
        <w:tc>
          <w:tcPr>
            <w:tcW w:w="1003" w:type="dxa"/>
            <w:vAlign w:val="bottom"/>
          </w:tcPr>
          <w:p w14:paraId="26165366"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0,77</w:t>
            </w:r>
          </w:p>
        </w:tc>
      </w:tr>
      <w:tr w:rsidR="007B2FF9" w:rsidRPr="000C62D7" w14:paraId="2660FD8D" w14:textId="77777777" w:rsidTr="0013488D">
        <w:trPr>
          <w:trHeight w:val="204"/>
          <w:jc w:val="center"/>
        </w:trPr>
        <w:tc>
          <w:tcPr>
            <w:tcW w:w="1843" w:type="dxa"/>
            <w:vAlign w:val="bottom"/>
          </w:tcPr>
          <w:p w14:paraId="6D3116AD"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Minimum</w:t>
            </w:r>
          </w:p>
        </w:tc>
        <w:tc>
          <w:tcPr>
            <w:tcW w:w="1016" w:type="dxa"/>
            <w:vAlign w:val="bottom"/>
          </w:tcPr>
          <w:p w14:paraId="0F3FE642"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0,12</w:t>
            </w:r>
          </w:p>
        </w:tc>
        <w:tc>
          <w:tcPr>
            <w:tcW w:w="1016" w:type="dxa"/>
            <w:vAlign w:val="bottom"/>
          </w:tcPr>
          <w:p w14:paraId="21712BC0"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0,04</w:t>
            </w:r>
          </w:p>
        </w:tc>
        <w:tc>
          <w:tcPr>
            <w:tcW w:w="1016" w:type="dxa"/>
            <w:vAlign w:val="bottom"/>
          </w:tcPr>
          <w:p w14:paraId="0DA819F4"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1,00</w:t>
            </w:r>
          </w:p>
        </w:tc>
        <w:tc>
          <w:tcPr>
            <w:tcW w:w="1016" w:type="dxa"/>
            <w:vAlign w:val="bottom"/>
          </w:tcPr>
          <w:p w14:paraId="04F857C6"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0,00</w:t>
            </w:r>
          </w:p>
        </w:tc>
        <w:tc>
          <w:tcPr>
            <w:tcW w:w="1016" w:type="dxa"/>
            <w:vAlign w:val="bottom"/>
          </w:tcPr>
          <w:p w14:paraId="464BE7E6"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0,00</w:t>
            </w:r>
          </w:p>
        </w:tc>
        <w:tc>
          <w:tcPr>
            <w:tcW w:w="1016" w:type="dxa"/>
            <w:vAlign w:val="bottom"/>
          </w:tcPr>
          <w:p w14:paraId="690C3965"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2,00</w:t>
            </w:r>
          </w:p>
        </w:tc>
        <w:tc>
          <w:tcPr>
            <w:tcW w:w="1003" w:type="dxa"/>
            <w:vAlign w:val="bottom"/>
          </w:tcPr>
          <w:p w14:paraId="1502C58A"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0,01</w:t>
            </w:r>
          </w:p>
        </w:tc>
      </w:tr>
      <w:tr w:rsidR="007B2FF9" w:rsidRPr="000C62D7" w14:paraId="0B7B4DB3" w14:textId="77777777" w:rsidTr="0013488D">
        <w:trPr>
          <w:trHeight w:val="204"/>
          <w:jc w:val="center"/>
        </w:trPr>
        <w:tc>
          <w:tcPr>
            <w:tcW w:w="1843" w:type="dxa"/>
            <w:vAlign w:val="bottom"/>
          </w:tcPr>
          <w:p w14:paraId="71EBC976"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Std, Dev,</w:t>
            </w:r>
          </w:p>
        </w:tc>
        <w:tc>
          <w:tcPr>
            <w:tcW w:w="1016" w:type="dxa"/>
            <w:vAlign w:val="bottom"/>
          </w:tcPr>
          <w:p w14:paraId="7D9C9964"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0,45</w:t>
            </w:r>
          </w:p>
        </w:tc>
        <w:tc>
          <w:tcPr>
            <w:tcW w:w="1016" w:type="dxa"/>
            <w:vAlign w:val="bottom"/>
          </w:tcPr>
          <w:p w14:paraId="7BB59653"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0,27</w:t>
            </w:r>
          </w:p>
        </w:tc>
        <w:tc>
          <w:tcPr>
            <w:tcW w:w="1016" w:type="dxa"/>
            <w:vAlign w:val="bottom"/>
          </w:tcPr>
          <w:p w14:paraId="0054D7E1"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0,22</w:t>
            </w:r>
          </w:p>
        </w:tc>
        <w:tc>
          <w:tcPr>
            <w:tcW w:w="1016" w:type="dxa"/>
            <w:vAlign w:val="bottom"/>
          </w:tcPr>
          <w:p w14:paraId="51EA919A"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0,43</w:t>
            </w:r>
          </w:p>
        </w:tc>
        <w:tc>
          <w:tcPr>
            <w:tcW w:w="1016" w:type="dxa"/>
            <w:vAlign w:val="bottom"/>
          </w:tcPr>
          <w:p w14:paraId="2EE0A9FF"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0,45</w:t>
            </w:r>
          </w:p>
        </w:tc>
        <w:tc>
          <w:tcPr>
            <w:tcW w:w="1016" w:type="dxa"/>
            <w:vAlign w:val="bottom"/>
          </w:tcPr>
          <w:p w14:paraId="7BE676D2"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0,91</w:t>
            </w:r>
          </w:p>
        </w:tc>
        <w:tc>
          <w:tcPr>
            <w:tcW w:w="1003" w:type="dxa"/>
            <w:vAlign w:val="bottom"/>
          </w:tcPr>
          <w:p w14:paraId="536958AA"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0,14</w:t>
            </w:r>
          </w:p>
        </w:tc>
      </w:tr>
      <w:tr w:rsidR="007B2FF9" w:rsidRPr="000C62D7" w14:paraId="742B1419" w14:textId="77777777" w:rsidTr="0013488D">
        <w:trPr>
          <w:trHeight w:val="204"/>
          <w:jc w:val="center"/>
        </w:trPr>
        <w:tc>
          <w:tcPr>
            <w:tcW w:w="1843" w:type="dxa"/>
            <w:tcBorders>
              <w:bottom w:val="single" w:sz="4" w:space="0" w:color="auto"/>
            </w:tcBorders>
            <w:vAlign w:val="bottom"/>
          </w:tcPr>
          <w:p w14:paraId="14607AA3"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Adjusted R- Square</w:t>
            </w:r>
          </w:p>
        </w:tc>
        <w:tc>
          <w:tcPr>
            <w:tcW w:w="1016" w:type="dxa"/>
            <w:tcBorders>
              <w:bottom w:val="single" w:sz="4" w:space="0" w:color="auto"/>
            </w:tcBorders>
            <w:vAlign w:val="bottom"/>
          </w:tcPr>
          <w:p w14:paraId="544D71F1" w14:textId="77777777" w:rsidR="007B2FF9" w:rsidRPr="000C62D7" w:rsidRDefault="007B2FF9" w:rsidP="004D6359">
            <w:pPr>
              <w:spacing w:line="240" w:lineRule="auto"/>
              <w:ind w:left="0" w:hanging="2"/>
              <w:rPr>
                <w:rFonts w:ascii="Calibri" w:eastAsia="Times New Roman" w:hAnsi="Calibri" w:cs="Calibri"/>
                <w:color w:val="000000"/>
                <w:szCs w:val="20"/>
              </w:rPr>
            </w:pPr>
            <w:r w:rsidRPr="000C62D7">
              <w:rPr>
                <w:rFonts w:ascii="Calibri" w:eastAsia="Times New Roman" w:hAnsi="Calibri" w:cs="Calibri"/>
                <w:color w:val="000000"/>
                <w:szCs w:val="20"/>
              </w:rPr>
              <w:t>0,43</w:t>
            </w:r>
          </w:p>
        </w:tc>
        <w:tc>
          <w:tcPr>
            <w:tcW w:w="1016" w:type="dxa"/>
            <w:tcBorders>
              <w:bottom w:val="single" w:sz="4" w:space="0" w:color="auto"/>
            </w:tcBorders>
            <w:vAlign w:val="bottom"/>
          </w:tcPr>
          <w:p w14:paraId="3A190344" w14:textId="77777777" w:rsidR="007B2FF9" w:rsidRPr="000C62D7" w:rsidRDefault="007B2FF9" w:rsidP="004D6359">
            <w:pPr>
              <w:spacing w:line="240" w:lineRule="auto"/>
              <w:ind w:left="0" w:hanging="2"/>
              <w:rPr>
                <w:rFonts w:ascii="Calibri" w:eastAsia="Times New Roman" w:hAnsi="Calibri" w:cs="Calibri"/>
                <w:color w:val="000000"/>
                <w:szCs w:val="20"/>
              </w:rPr>
            </w:pPr>
          </w:p>
        </w:tc>
        <w:tc>
          <w:tcPr>
            <w:tcW w:w="1016" w:type="dxa"/>
            <w:tcBorders>
              <w:bottom w:val="single" w:sz="4" w:space="0" w:color="auto"/>
            </w:tcBorders>
            <w:vAlign w:val="bottom"/>
          </w:tcPr>
          <w:p w14:paraId="6C9F23F0" w14:textId="77777777" w:rsidR="007B2FF9" w:rsidRPr="000C62D7" w:rsidRDefault="007B2FF9" w:rsidP="004D6359">
            <w:pPr>
              <w:spacing w:line="240" w:lineRule="auto"/>
              <w:ind w:left="0" w:hanging="2"/>
              <w:rPr>
                <w:rFonts w:ascii="Calibri" w:eastAsia="Times New Roman" w:hAnsi="Calibri" w:cs="Calibri"/>
                <w:color w:val="000000"/>
                <w:szCs w:val="20"/>
              </w:rPr>
            </w:pPr>
          </w:p>
        </w:tc>
        <w:tc>
          <w:tcPr>
            <w:tcW w:w="1016" w:type="dxa"/>
            <w:tcBorders>
              <w:bottom w:val="single" w:sz="4" w:space="0" w:color="auto"/>
            </w:tcBorders>
            <w:vAlign w:val="bottom"/>
          </w:tcPr>
          <w:p w14:paraId="30329F08" w14:textId="77777777" w:rsidR="007B2FF9" w:rsidRPr="000C62D7" w:rsidRDefault="007B2FF9" w:rsidP="004D6359">
            <w:pPr>
              <w:spacing w:line="240" w:lineRule="auto"/>
              <w:ind w:left="0" w:hanging="2"/>
              <w:rPr>
                <w:rFonts w:ascii="Calibri" w:eastAsia="Times New Roman" w:hAnsi="Calibri" w:cs="Calibri"/>
                <w:color w:val="000000"/>
                <w:szCs w:val="20"/>
              </w:rPr>
            </w:pPr>
          </w:p>
        </w:tc>
        <w:tc>
          <w:tcPr>
            <w:tcW w:w="1016" w:type="dxa"/>
            <w:tcBorders>
              <w:bottom w:val="single" w:sz="4" w:space="0" w:color="auto"/>
            </w:tcBorders>
            <w:vAlign w:val="bottom"/>
          </w:tcPr>
          <w:p w14:paraId="210BBEAA" w14:textId="77777777" w:rsidR="007B2FF9" w:rsidRPr="000C62D7" w:rsidRDefault="007B2FF9" w:rsidP="004D6359">
            <w:pPr>
              <w:spacing w:line="240" w:lineRule="auto"/>
              <w:ind w:left="0" w:hanging="2"/>
              <w:rPr>
                <w:rFonts w:ascii="Calibri" w:eastAsia="Times New Roman" w:hAnsi="Calibri" w:cs="Calibri"/>
                <w:color w:val="000000"/>
                <w:szCs w:val="20"/>
              </w:rPr>
            </w:pPr>
          </w:p>
        </w:tc>
        <w:tc>
          <w:tcPr>
            <w:tcW w:w="1016" w:type="dxa"/>
            <w:tcBorders>
              <w:bottom w:val="single" w:sz="4" w:space="0" w:color="auto"/>
            </w:tcBorders>
            <w:vAlign w:val="bottom"/>
          </w:tcPr>
          <w:p w14:paraId="5A9E418B" w14:textId="77777777" w:rsidR="007B2FF9" w:rsidRPr="000C62D7" w:rsidRDefault="007B2FF9" w:rsidP="004D6359">
            <w:pPr>
              <w:spacing w:line="240" w:lineRule="auto"/>
              <w:ind w:left="0" w:hanging="2"/>
              <w:rPr>
                <w:rFonts w:ascii="Calibri" w:eastAsia="Times New Roman" w:hAnsi="Calibri" w:cs="Calibri"/>
                <w:color w:val="000000"/>
                <w:szCs w:val="20"/>
              </w:rPr>
            </w:pPr>
          </w:p>
        </w:tc>
        <w:tc>
          <w:tcPr>
            <w:tcW w:w="1003" w:type="dxa"/>
            <w:tcBorders>
              <w:bottom w:val="single" w:sz="4" w:space="0" w:color="auto"/>
            </w:tcBorders>
            <w:vAlign w:val="bottom"/>
          </w:tcPr>
          <w:p w14:paraId="04455DC5" w14:textId="77777777" w:rsidR="007B2FF9" w:rsidRPr="000C62D7" w:rsidRDefault="007B2FF9" w:rsidP="004D6359">
            <w:pPr>
              <w:spacing w:line="240" w:lineRule="auto"/>
              <w:ind w:left="0" w:hanging="2"/>
              <w:rPr>
                <w:rFonts w:ascii="Calibri" w:eastAsia="Times New Roman" w:hAnsi="Calibri" w:cs="Calibri"/>
                <w:color w:val="000000"/>
                <w:szCs w:val="20"/>
              </w:rPr>
            </w:pPr>
          </w:p>
        </w:tc>
      </w:tr>
    </w:tbl>
    <w:p w14:paraId="33AEF280" w14:textId="77777777" w:rsidR="007B2FF9" w:rsidRPr="000C62D7" w:rsidRDefault="007B2FF9" w:rsidP="007B2FF9">
      <w:pPr>
        <w:spacing w:line="480" w:lineRule="auto"/>
        <w:ind w:leftChars="0" w:left="0" w:firstLineChars="322" w:firstLine="708"/>
        <w:jc w:val="both"/>
        <w:rPr>
          <w:rFonts w:ascii="Calibri" w:eastAsia="Times New Roman" w:hAnsi="Calibri" w:cs="Calibri"/>
          <w:sz w:val="22"/>
        </w:rPr>
      </w:pPr>
      <w:r w:rsidRPr="000C62D7">
        <w:rPr>
          <w:rFonts w:ascii="Calibri" w:eastAsia="Times New Roman" w:hAnsi="Calibri" w:cs="Calibri"/>
          <w:sz w:val="22"/>
        </w:rPr>
        <w:t xml:space="preserve">Source: Data processed </w:t>
      </w:r>
      <w:proofErr w:type="spellStart"/>
      <w:r w:rsidRPr="000C62D7">
        <w:rPr>
          <w:rFonts w:ascii="Calibri" w:eastAsia="Times New Roman" w:hAnsi="Calibri" w:cs="Calibri"/>
          <w:sz w:val="22"/>
        </w:rPr>
        <w:t>Eviews</w:t>
      </w:r>
      <w:proofErr w:type="spellEnd"/>
      <w:r w:rsidRPr="000C62D7">
        <w:rPr>
          <w:rFonts w:ascii="Calibri" w:eastAsia="Times New Roman" w:hAnsi="Calibri" w:cs="Calibri"/>
          <w:sz w:val="22"/>
        </w:rPr>
        <w:t>, 2024</w:t>
      </w:r>
    </w:p>
    <w:p w14:paraId="5999F63C" w14:textId="251ECF67" w:rsidR="007B2FF9" w:rsidRPr="000C62D7" w:rsidRDefault="007B2FF9" w:rsidP="007B2FF9">
      <w:pPr>
        <w:ind w:left="0" w:hanging="2"/>
        <w:rPr>
          <w:rFonts w:ascii="Calibri" w:eastAsia="Times New Roman" w:hAnsi="Calibri" w:cs="Calibri"/>
          <w:sz w:val="22"/>
        </w:rPr>
      </w:pPr>
      <w:r w:rsidRPr="000C62D7">
        <w:rPr>
          <w:rFonts w:ascii="Calibri" w:eastAsia="Times New Roman" w:hAnsi="Calibri" w:cs="Calibri"/>
          <w:sz w:val="22"/>
        </w:rPr>
        <w:t>Table 2 Results of the panel data regression</w:t>
      </w:r>
    </w:p>
    <w:tbl>
      <w:tblPr>
        <w:tblW w:w="8312" w:type="dxa"/>
        <w:jc w:val="center"/>
        <w:tblLayout w:type="fixed"/>
        <w:tblLook w:val="0400" w:firstRow="0" w:lastRow="0" w:firstColumn="0" w:lastColumn="0" w:noHBand="0" w:noVBand="1"/>
      </w:tblPr>
      <w:tblGrid>
        <w:gridCol w:w="3122"/>
        <w:gridCol w:w="1296"/>
        <w:gridCol w:w="1136"/>
        <w:gridCol w:w="888"/>
        <w:gridCol w:w="1870"/>
      </w:tblGrid>
      <w:tr w:rsidR="007B2FF9" w:rsidRPr="000C62D7" w14:paraId="7A9D6734" w14:textId="77777777" w:rsidTr="0013488D">
        <w:trPr>
          <w:trHeight w:val="300"/>
          <w:jc w:val="center"/>
        </w:trPr>
        <w:tc>
          <w:tcPr>
            <w:tcW w:w="3122" w:type="dxa"/>
            <w:tcBorders>
              <w:top w:val="single" w:sz="4" w:space="0" w:color="auto"/>
              <w:bottom w:val="single" w:sz="4" w:space="0" w:color="auto"/>
            </w:tcBorders>
            <w:shd w:val="clear" w:color="auto" w:fill="auto"/>
            <w:vAlign w:val="center"/>
          </w:tcPr>
          <w:p w14:paraId="02883E8E"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Variable</w:t>
            </w:r>
          </w:p>
        </w:tc>
        <w:tc>
          <w:tcPr>
            <w:tcW w:w="1296" w:type="dxa"/>
            <w:tcBorders>
              <w:top w:val="single" w:sz="4" w:space="0" w:color="auto"/>
              <w:bottom w:val="single" w:sz="4" w:space="0" w:color="auto"/>
            </w:tcBorders>
            <w:shd w:val="clear" w:color="auto" w:fill="auto"/>
            <w:vAlign w:val="center"/>
          </w:tcPr>
          <w:p w14:paraId="3FD4907F"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Coefficient</w:t>
            </w:r>
          </w:p>
        </w:tc>
        <w:tc>
          <w:tcPr>
            <w:tcW w:w="1136" w:type="dxa"/>
            <w:tcBorders>
              <w:top w:val="single" w:sz="4" w:space="0" w:color="auto"/>
              <w:bottom w:val="single" w:sz="4" w:space="0" w:color="auto"/>
            </w:tcBorders>
            <w:shd w:val="clear" w:color="auto" w:fill="auto"/>
            <w:vAlign w:val="center"/>
          </w:tcPr>
          <w:p w14:paraId="58B839D8"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t-Statistic</w:t>
            </w:r>
          </w:p>
        </w:tc>
        <w:tc>
          <w:tcPr>
            <w:tcW w:w="888" w:type="dxa"/>
            <w:tcBorders>
              <w:top w:val="single" w:sz="4" w:space="0" w:color="auto"/>
              <w:bottom w:val="single" w:sz="4" w:space="0" w:color="auto"/>
            </w:tcBorders>
            <w:shd w:val="clear" w:color="auto" w:fill="auto"/>
            <w:vAlign w:val="center"/>
          </w:tcPr>
          <w:p w14:paraId="2E8FFEEB"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Prob</w:t>
            </w:r>
          </w:p>
        </w:tc>
        <w:tc>
          <w:tcPr>
            <w:tcW w:w="1870" w:type="dxa"/>
            <w:tcBorders>
              <w:top w:val="single" w:sz="4" w:space="0" w:color="auto"/>
              <w:bottom w:val="single" w:sz="4" w:space="0" w:color="auto"/>
            </w:tcBorders>
            <w:shd w:val="clear" w:color="auto" w:fill="auto"/>
            <w:vAlign w:val="center"/>
          </w:tcPr>
          <w:p w14:paraId="653342FA" w14:textId="77777777" w:rsidR="007B2FF9" w:rsidRPr="000C62D7" w:rsidRDefault="00000000" w:rsidP="004D6359">
            <w:pPr>
              <w:ind w:left="0" w:hanging="2"/>
              <w:rPr>
                <w:rFonts w:ascii="Calibri" w:eastAsia="Times New Roman" w:hAnsi="Calibri" w:cs="Calibri"/>
                <w:color w:val="000000"/>
                <w:sz w:val="22"/>
              </w:rPr>
            </w:pPr>
            <w:sdt>
              <w:sdtPr>
                <w:rPr>
                  <w:rFonts w:ascii="Calibri" w:hAnsi="Calibri" w:cs="Calibri"/>
                  <w:sz w:val="22"/>
                </w:rPr>
                <w:tag w:val="goog_rdk_5"/>
                <w:id w:val="598531867"/>
              </w:sdtPr>
              <w:sdtContent/>
            </w:sdt>
            <w:r w:rsidR="007B2FF9" w:rsidRPr="000C62D7">
              <w:rPr>
                <w:rFonts w:ascii="Calibri" w:eastAsia="Times New Roman" w:hAnsi="Calibri" w:cs="Calibri"/>
                <w:color w:val="000000"/>
                <w:sz w:val="22"/>
              </w:rPr>
              <w:t>Sig.</w:t>
            </w:r>
          </w:p>
        </w:tc>
      </w:tr>
      <w:tr w:rsidR="007B2FF9" w:rsidRPr="000C62D7" w14:paraId="1C2B54D7" w14:textId="77777777" w:rsidTr="0013488D">
        <w:trPr>
          <w:trHeight w:val="300"/>
          <w:jc w:val="center"/>
        </w:trPr>
        <w:tc>
          <w:tcPr>
            <w:tcW w:w="3122" w:type="dxa"/>
            <w:tcBorders>
              <w:top w:val="single" w:sz="4" w:space="0" w:color="auto"/>
            </w:tcBorders>
            <w:shd w:val="clear" w:color="auto" w:fill="auto"/>
            <w:vAlign w:val="bottom"/>
          </w:tcPr>
          <w:p w14:paraId="038D35CC"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C</w:t>
            </w:r>
          </w:p>
        </w:tc>
        <w:tc>
          <w:tcPr>
            <w:tcW w:w="1296" w:type="dxa"/>
            <w:tcBorders>
              <w:top w:val="single" w:sz="4" w:space="0" w:color="auto"/>
            </w:tcBorders>
            <w:shd w:val="clear" w:color="auto" w:fill="auto"/>
            <w:vAlign w:val="bottom"/>
          </w:tcPr>
          <w:p w14:paraId="5B5588FB"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0,456</w:t>
            </w:r>
          </w:p>
        </w:tc>
        <w:tc>
          <w:tcPr>
            <w:tcW w:w="1136" w:type="dxa"/>
            <w:tcBorders>
              <w:top w:val="single" w:sz="4" w:space="0" w:color="auto"/>
            </w:tcBorders>
            <w:shd w:val="clear" w:color="auto" w:fill="auto"/>
            <w:vAlign w:val="bottom"/>
          </w:tcPr>
          <w:p w14:paraId="7B74F606"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1,247</w:t>
            </w:r>
          </w:p>
        </w:tc>
        <w:tc>
          <w:tcPr>
            <w:tcW w:w="888" w:type="dxa"/>
            <w:tcBorders>
              <w:top w:val="single" w:sz="4" w:space="0" w:color="auto"/>
            </w:tcBorders>
            <w:shd w:val="clear" w:color="auto" w:fill="auto"/>
            <w:vAlign w:val="bottom"/>
          </w:tcPr>
          <w:p w14:paraId="510F3326"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0,2154</w:t>
            </w:r>
          </w:p>
        </w:tc>
        <w:tc>
          <w:tcPr>
            <w:tcW w:w="1870" w:type="dxa"/>
            <w:tcBorders>
              <w:top w:val="single" w:sz="4" w:space="0" w:color="auto"/>
            </w:tcBorders>
            <w:shd w:val="clear" w:color="auto" w:fill="auto"/>
            <w:vAlign w:val="bottom"/>
          </w:tcPr>
          <w:p w14:paraId="4F2A1318" w14:textId="77777777" w:rsidR="007B2FF9" w:rsidRPr="000C62D7" w:rsidRDefault="00000000" w:rsidP="004D6359">
            <w:pPr>
              <w:ind w:left="0" w:hanging="2"/>
              <w:rPr>
                <w:rFonts w:ascii="Calibri" w:eastAsia="Times New Roman" w:hAnsi="Calibri" w:cs="Calibri"/>
                <w:color w:val="000000"/>
                <w:sz w:val="22"/>
              </w:rPr>
            </w:pPr>
            <w:sdt>
              <w:sdtPr>
                <w:rPr>
                  <w:rFonts w:ascii="Calibri" w:hAnsi="Calibri" w:cs="Calibri"/>
                  <w:sz w:val="22"/>
                </w:rPr>
                <w:tag w:val="goog_rdk_6"/>
                <w:id w:val="-1271234863"/>
              </w:sdtPr>
              <w:sdtContent/>
            </w:sdt>
            <w:r w:rsidR="007B2FF9" w:rsidRPr="000C62D7">
              <w:rPr>
                <w:rFonts w:ascii="Calibri" w:eastAsia="Times New Roman" w:hAnsi="Calibri" w:cs="Calibri"/>
                <w:color w:val="000000"/>
                <w:sz w:val="22"/>
              </w:rPr>
              <w:t>-</w:t>
            </w:r>
          </w:p>
        </w:tc>
      </w:tr>
      <w:tr w:rsidR="007B2FF9" w:rsidRPr="000C62D7" w14:paraId="444BF73E" w14:textId="77777777" w:rsidTr="0013488D">
        <w:trPr>
          <w:trHeight w:val="300"/>
          <w:jc w:val="center"/>
        </w:trPr>
        <w:tc>
          <w:tcPr>
            <w:tcW w:w="3122" w:type="dxa"/>
            <w:shd w:val="clear" w:color="auto" w:fill="auto"/>
            <w:vAlign w:val="bottom"/>
          </w:tcPr>
          <w:p w14:paraId="45627CC5"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Financial Stability</w:t>
            </w:r>
          </w:p>
        </w:tc>
        <w:tc>
          <w:tcPr>
            <w:tcW w:w="1296" w:type="dxa"/>
            <w:shd w:val="clear" w:color="auto" w:fill="auto"/>
            <w:vAlign w:val="bottom"/>
          </w:tcPr>
          <w:p w14:paraId="6E596209"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0,343</w:t>
            </w:r>
          </w:p>
        </w:tc>
        <w:tc>
          <w:tcPr>
            <w:tcW w:w="1136" w:type="dxa"/>
            <w:shd w:val="clear" w:color="auto" w:fill="auto"/>
            <w:vAlign w:val="bottom"/>
          </w:tcPr>
          <w:p w14:paraId="7612F69E"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2,223</w:t>
            </w:r>
          </w:p>
        </w:tc>
        <w:tc>
          <w:tcPr>
            <w:tcW w:w="888" w:type="dxa"/>
            <w:shd w:val="clear" w:color="auto" w:fill="auto"/>
            <w:vAlign w:val="bottom"/>
          </w:tcPr>
          <w:p w14:paraId="508BF545"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0,0285</w:t>
            </w:r>
          </w:p>
        </w:tc>
        <w:tc>
          <w:tcPr>
            <w:tcW w:w="1870" w:type="dxa"/>
            <w:shd w:val="clear" w:color="auto" w:fill="auto"/>
            <w:vAlign w:val="bottom"/>
          </w:tcPr>
          <w:p w14:paraId="244D4B3C" w14:textId="77777777" w:rsidR="007B2FF9" w:rsidRPr="000C62D7" w:rsidRDefault="00000000" w:rsidP="004D6359">
            <w:pPr>
              <w:ind w:left="0" w:hanging="2"/>
              <w:rPr>
                <w:rFonts w:ascii="Calibri" w:eastAsia="Times New Roman" w:hAnsi="Calibri" w:cs="Calibri"/>
                <w:color w:val="000000"/>
                <w:sz w:val="22"/>
              </w:rPr>
            </w:pPr>
            <w:sdt>
              <w:sdtPr>
                <w:rPr>
                  <w:rFonts w:ascii="Calibri" w:hAnsi="Calibri" w:cs="Calibri"/>
                  <w:sz w:val="22"/>
                </w:rPr>
                <w:tag w:val="goog_rdk_7"/>
                <w:id w:val="845594871"/>
              </w:sdtPr>
              <w:sdtContent/>
            </w:sdt>
            <w:r w:rsidR="007B2FF9" w:rsidRPr="000C62D7">
              <w:rPr>
                <w:rFonts w:ascii="Calibri" w:eastAsia="Times New Roman" w:hAnsi="Calibri" w:cs="Calibri"/>
                <w:color w:val="000000"/>
                <w:sz w:val="22"/>
              </w:rPr>
              <w:t>Significant positives</w:t>
            </w:r>
          </w:p>
        </w:tc>
      </w:tr>
      <w:tr w:rsidR="007B2FF9" w:rsidRPr="000C62D7" w14:paraId="5D5E2D72" w14:textId="77777777" w:rsidTr="0013488D">
        <w:trPr>
          <w:trHeight w:val="300"/>
          <w:jc w:val="center"/>
        </w:trPr>
        <w:tc>
          <w:tcPr>
            <w:tcW w:w="3122" w:type="dxa"/>
            <w:shd w:val="clear" w:color="auto" w:fill="auto"/>
            <w:vAlign w:val="bottom"/>
          </w:tcPr>
          <w:p w14:paraId="3158D313"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Independent Board of Commissioners</w:t>
            </w:r>
          </w:p>
        </w:tc>
        <w:tc>
          <w:tcPr>
            <w:tcW w:w="1296" w:type="dxa"/>
            <w:shd w:val="clear" w:color="auto" w:fill="auto"/>
            <w:vAlign w:val="bottom"/>
          </w:tcPr>
          <w:p w14:paraId="37A659AB"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0,124</w:t>
            </w:r>
          </w:p>
        </w:tc>
        <w:tc>
          <w:tcPr>
            <w:tcW w:w="1136" w:type="dxa"/>
            <w:shd w:val="clear" w:color="auto" w:fill="auto"/>
            <w:vAlign w:val="bottom"/>
          </w:tcPr>
          <w:p w14:paraId="03CABFD4"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0,632</w:t>
            </w:r>
          </w:p>
        </w:tc>
        <w:tc>
          <w:tcPr>
            <w:tcW w:w="888" w:type="dxa"/>
            <w:shd w:val="clear" w:color="auto" w:fill="auto"/>
            <w:vAlign w:val="bottom"/>
          </w:tcPr>
          <w:p w14:paraId="142DDF2A"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0,5288</w:t>
            </w:r>
          </w:p>
        </w:tc>
        <w:tc>
          <w:tcPr>
            <w:tcW w:w="1870" w:type="dxa"/>
            <w:shd w:val="clear" w:color="auto" w:fill="auto"/>
            <w:vAlign w:val="bottom"/>
          </w:tcPr>
          <w:p w14:paraId="3ED71C1C" w14:textId="77777777" w:rsidR="007B2FF9" w:rsidRPr="000C62D7" w:rsidRDefault="00000000" w:rsidP="004D6359">
            <w:pPr>
              <w:ind w:left="0" w:hanging="2"/>
              <w:rPr>
                <w:rFonts w:ascii="Calibri" w:eastAsia="Times New Roman" w:hAnsi="Calibri" w:cs="Calibri"/>
                <w:color w:val="000000"/>
                <w:sz w:val="22"/>
              </w:rPr>
            </w:pPr>
            <w:sdt>
              <w:sdtPr>
                <w:rPr>
                  <w:rFonts w:ascii="Calibri" w:hAnsi="Calibri" w:cs="Calibri"/>
                  <w:sz w:val="22"/>
                </w:rPr>
                <w:tag w:val="goog_rdk_8"/>
                <w:id w:val="1992908527"/>
              </w:sdtPr>
              <w:sdtContent/>
            </w:sdt>
            <w:r w:rsidR="007B2FF9" w:rsidRPr="000C62D7">
              <w:rPr>
                <w:rFonts w:ascii="Calibri" w:eastAsia="Times New Roman" w:hAnsi="Calibri" w:cs="Calibri"/>
                <w:color w:val="000000"/>
                <w:sz w:val="22"/>
              </w:rPr>
              <w:t>Insignificant</w:t>
            </w:r>
          </w:p>
        </w:tc>
      </w:tr>
      <w:tr w:rsidR="007B2FF9" w:rsidRPr="000C62D7" w14:paraId="72BF6407" w14:textId="77777777" w:rsidTr="0013488D">
        <w:trPr>
          <w:trHeight w:val="300"/>
          <w:jc w:val="center"/>
        </w:trPr>
        <w:tc>
          <w:tcPr>
            <w:tcW w:w="3122" w:type="dxa"/>
            <w:shd w:val="clear" w:color="auto" w:fill="auto"/>
            <w:vAlign w:val="bottom"/>
          </w:tcPr>
          <w:p w14:paraId="01024F00"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 xml:space="preserve">Auditor Turnover </w:t>
            </w:r>
          </w:p>
        </w:tc>
        <w:tc>
          <w:tcPr>
            <w:tcW w:w="1296" w:type="dxa"/>
            <w:shd w:val="clear" w:color="auto" w:fill="auto"/>
            <w:vAlign w:val="bottom"/>
          </w:tcPr>
          <w:p w14:paraId="509D6BA5"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0,005</w:t>
            </w:r>
          </w:p>
        </w:tc>
        <w:tc>
          <w:tcPr>
            <w:tcW w:w="1136" w:type="dxa"/>
            <w:shd w:val="clear" w:color="auto" w:fill="auto"/>
            <w:vAlign w:val="bottom"/>
          </w:tcPr>
          <w:p w14:paraId="42377F12"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0,069</w:t>
            </w:r>
          </w:p>
        </w:tc>
        <w:tc>
          <w:tcPr>
            <w:tcW w:w="888" w:type="dxa"/>
            <w:shd w:val="clear" w:color="auto" w:fill="auto"/>
            <w:vAlign w:val="bottom"/>
          </w:tcPr>
          <w:p w14:paraId="6612AA95"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0,9446</w:t>
            </w:r>
          </w:p>
        </w:tc>
        <w:tc>
          <w:tcPr>
            <w:tcW w:w="1870" w:type="dxa"/>
            <w:shd w:val="clear" w:color="auto" w:fill="auto"/>
          </w:tcPr>
          <w:p w14:paraId="7526F62F"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Insignificant</w:t>
            </w:r>
          </w:p>
        </w:tc>
      </w:tr>
      <w:tr w:rsidR="007B2FF9" w:rsidRPr="000C62D7" w14:paraId="534B8FA4" w14:textId="77777777" w:rsidTr="0013488D">
        <w:trPr>
          <w:trHeight w:val="300"/>
          <w:jc w:val="center"/>
        </w:trPr>
        <w:tc>
          <w:tcPr>
            <w:tcW w:w="3122" w:type="dxa"/>
            <w:shd w:val="clear" w:color="auto" w:fill="auto"/>
            <w:vAlign w:val="bottom"/>
          </w:tcPr>
          <w:p w14:paraId="336D6398"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Change of Board of Directors</w:t>
            </w:r>
          </w:p>
        </w:tc>
        <w:tc>
          <w:tcPr>
            <w:tcW w:w="1296" w:type="dxa"/>
            <w:shd w:val="clear" w:color="auto" w:fill="auto"/>
            <w:vAlign w:val="bottom"/>
          </w:tcPr>
          <w:p w14:paraId="06928C39"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0,087</w:t>
            </w:r>
          </w:p>
        </w:tc>
        <w:tc>
          <w:tcPr>
            <w:tcW w:w="1136" w:type="dxa"/>
            <w:shd w:val="clear" w:color="auto" w:fill="auto"/>
            <w:vAlign w:val="bottom"/>
          </w:tcPr>
          <w:p w14:paraId="3F1A1D8E"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1,173</w:t>
            </w:r>
          </w:p>
        </w:tc>
        <w:tc>
          <w:tcPr>
            <w:tcW w:w="888" w:type="dxa"/>
            <w:shd w:val="clear" w:color="auto" w:fill="auto"/>
            <w:vAlign w:val="bottom"/>
          </w:tcPr>
          <w:p w14:paraId="67ECA8ED"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0,2434</w:t>
            </w:r>
          </w:p>
        </w:tc>
        <w:tc>
          <w:tcPr>
            <w:tcW w:w="1870" w:type="dxa"/>
            <w:shd w:val="clear" w:color="auto" w:fill="auto"/>
          </w:tcPr>
          <w:p w14:paraId="7D196BDA"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Insignificant</w:t>
            </w:r>
          </w:p>
        </w:tc>
      </w:tr>
      <w:tr w:rsidR="007B2FF9" w:rsidRPr="000C62D7" w14:paraId="4DB739ED" w14:textId="77777777" w:rsidTr="0013488D">
        <w:trPr>
          <w:trHeight w:val="300"/>
          <w:jc w:val="center"/>
        </w:trPr>
        <w:tc>
          <w:tcPr>
            <w:tcW w:w="3122" w:type="dxa"/>
            <w:shd w:val="clear" w:color="auto" w:fill="auto"/>
            <w:vAlign w:val="bottom"/>
          </w:tcPr>
          <w:p w14:paraId="14D273C0"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CEO Profile Picture</w:t>
            </w:r>
          </w:p>
        </w:tc>
        <w:tc>
          <w:tcPr>
            <w:tcW w:w="1296" w:type="dxa"/>
            <w:shd w:val="clear" w:color="auto" w:fill="auto"/>
            <w:vAlign w:val="bottom"/>
          </w:tcPr>
          <w:p w14:paraId="68AF592D"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0,030</w:t>
            </w:r>
          </w:p>
        </w:tc>
        <w:tc>
          <w:tcPr>
            <w:tcW w:w="1136" w:type="dxa"/>
            <w:shd w:val="clear" w:color="auto" w:fill="auto"/>
            <w:vAlign w:val="bottom"/>
          </w:tcPr>
          <w:p w14:paraId="29FCF7AE"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0,554</w:t>
            </w:r>
          </w:p>
        </w:tc>
        <w:tc>
          <w:tcPr>
            <w:tcW w:w="888" w:type="dxa"/>
            <w:shd w:val="clear" w:color="auto" w:fill="auto"/>
            <w:vAlign w:val="bottom"/>
          </w:tcPr>
          <w:p w14:paraId="68B68A00"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0,5806</w:t>
            </w:r>
          </w:p>
        </w:tc>
        <w:tc>
          <w:tcPr>
            <w:tcW w:w="1870" w:type="dxa"/>
            <w:shd w:val="clear" w:color="auto" w:fill="auto"/>
          </w:tcPr>
          <w:p w14:paraId="3DD92041"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Insignificant</w:t>
            </w:r>
          </w:p>
        </w:tc>
      </w:tr>
      <w:tr w:rsidR="007B2FF9" w:rsidRPr="000C62D7" w14:paraId="2AFCE190" w14:textId="77777777" w:rsidTr="0013488D">
        <w:trPr>
          <w:trHeight w:val="300"/>
          <w:jc w:val="center"/>
        </w:trPr>
        <w:tc>
          <w:tcPr>
            <w:tcW w:w="3122" w:type="dxa"/>
            <w:tcBorders>
              <w:bottom w:val="single" w:sz="4" w:space="0" w:color="auto"/>
            </w:tcBorders>
            <w:shd w:val="clear" w:color="auto" w:fill="auto"/>
            <w:vAlign w:val="bottom"/>
          </w:tcPr>
          <w:p w14:paraId="09360A8C"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 xml:space="preserve">Financial Target </w:t>
            </w:r>
          </w:p>
        </w:tc>
        <w:tc>
          <w:tcPr>
            <w:tcW w:w="1296" w:type="dxa"/>
            <w:tcBorders>
              <w:bottom w:val="single" w:sz="4" w:space="0" w:color="auto"/>
            </w:tcBorders>
            <w:shd w:val="clear" w:color="auto" w:fill="auto"/>
            <w:vAlign w:val="bottom"/>
          </w:tcPr>
          <w:p w14:paraId="793F6157"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0,382</w:t>
            </w:r>
          </w:p>
        </w:tc>
        <w:tc>
          <w:tcPr>
            <w:tcW w:w="1136" w:type="dxa"/>
            <w:tcBorders>
              <w:bottom w:val="single" w:sz="4" w:space="0" w:color="auto"/>
            </w:tcBorders>
            <w:shd w:val="clear" w:color="auto" w:fill="auto"/>
            <w:vAlign w:val="bottom"/>
          </w:tcPr>
          <w:p w14:paraId="0F86478F"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1,189</w:t>
            </w:r>
          </w:p>
        </w:tc>
        <w:tc>
          <w:tcPr>
            <w:tcW w:w="888" w:type="dxa"/>
            <w:tcBorders>
              <w:bottom w:val="single" w:sz="4" w:space="0" w:color="auto"/>
            </w:tcBorders>
            <w:shd w:val="clear" w:color="auto" w:fill="auto"/>
            <w:vAlign w:val="bottom"/>
          </w:tcPr>
          <w:p w14:paraId="2D7403A7" w14:textId="77777777" w:rsidR="007B2FF9" w:rsidRPr="000C62D7" w:rsidRDefault="007B2FF9" w:rsidP="004D6359">
            <w:pPr>
              <w:ind w:left="0" w:hanging="2"/>
              <w:jc w:val="right"/>
              <w:rPr>
                <w:rFonts w:ascii="Calibri" w:eastAsia="Times New Roman" w:hAnsi="Calibri" w:cs="Calibri"/>
                <w:color w:val="000000"/>
                <w:sz w:val="22"/>
              </w:rPr>
            </w:pPr>
            <w:r w:rsidRPr="000C62D7">
              <w:rPr>
                <w:rFonts w:ascii="Calibri" w:eastAsia="Times New Roman" w:hAnsi="Calibri" w:cs="Calibri"/>
                <w:color w:val="000000"/>
                <w:sz w:val="22"/>
              </w:rPr>
              <w:t>0,2373</w:t>
            </w:r>
          </w:p>
        </w:tc>
        <w:tc>
          <w:tcPr>
            <w:tcW w:w="1870" w:type="dxa"/>
            <w:tcBorders>
              <w:bottom w:val="single" w:sz="4" w:space="0" w:color="auto"/>
            </w:tcBorders>
            <w:shd w:val="clear" w:color="auto" w:fill="auto"/>
          </w:tcPr>
          <w:p w14:paraId="56BCFB2D" w14:textId="77777777" w:rsidR="007B2FF9" w:rsidRPr="000C62D7" w:rsidRDefault="007B2FF9" w:rsidP="004D6359">
            <w:pPr>
              <w:ind w:left="0" w:hanging="2"/>
              <w:rPr>
                <w:rFonts w:ascii="Calibri" w:eastAsia="Times New Roman" w:hAnsi="Calibri" w:cs="Calibri"/>
                <w:color w:val="000000"/>
                <w:sz w:val="22"/>
              </w:rPr>
            </w:pPr>
            <w:r w:rsidRPr="000C62D7">
              <w:rPr>
                <w:rFonts w:ascii="Calibri" w:eastAsia="Times New Roman" w:hAnsi="Calibri" w:cs="Calibri"/>
                <w:color w:val="000000"/>
                <w:sz w:val="22"/>
              </w:rPr>
              <w:t>Insignificant</w:t>
            </w:r>
          </w:p>
        </w:tc>
      </w:tr>
    </w:tbl>
    <w:p w14:paraId="42662096" w14:textId="77777777" w:rsidR="007B2FF9" w:rsidRPr="000C62D7" w:rsidRDefault="007B2FF9" w:rsidP="007B2FF9">
      <w:pPr>
        <w:spacing w:line="480" w:lineRule="auto"/>
        <w:ind w:leftChars="0" w:left="0" w:firstLineChars="322" w:firstLine="708"/>
        <w:jc w:val="both"/>
        <w:rPr>
          <w:rFonts w:ascii="Calibri" w:eastAsia="Times New Roman" w:hAnsi="Calibri" w:cs="Calibri"/>
          <w:sz w:val="22"/>
        </w:rPr>
      </w:pPr>
      <w:r w:rsidRPr="000C62D7">
        <w:rPr>
          <w:rFonts w:ascii="Calibri" w:eastAsia="Times New Roman" w:hAnsi="Calibri" w:cs="Calibri"/>
          <w:sz w:val="22"/>
        </w:rPr>
        <w:t xml:space="preserve">Source: Data processed </w:t>
      </w:r>
      <w:proofErr w:type="spellStart"/>
      <w:r w:rsidRPr="000C62D7">
        <w:rPr>
          <w:rFonts w:ascii="Calibri" w:eastAsia="Times New Roman" w:hAnsi="Calibri" w:cs="Calibri"/>
          <w:sz w:val="22"/>
        </w:rPr>
        <w:t>Eviews</w:t>
      </w:r>
      <w:proofErr w:type="spellEnd"/>
      <w:r w:rsidRPr="000C62D7">
        <w:rPr>
          <w:rFonts w:ascii="Calibri" w:eastAsia="Times New Roman" w:hAnsi="Calibri" w:cs="Calibri"/>
          <w:sz w:val="22"/>
        </w:rPr>
        <w:t>, 2024</w:t>
      </w:r>
    </w:p>
    <w:p w14:paraId="716312CC" w14:textId="0BCF9639"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 xml:space="preserve">The results of the regression panel data in Table 2 show the results of the hypothesis analysis in this study. The results of the first hypothesis partial test of this study tested the effect of financial stability on financial statement fraud; the probability value showed a lower result than the significance value (0.0285 &lt; 0.05), which indicates that financial stability affects fraud financial statements, it can be concluded that the H1 hypothesis is acceptable. The results of the hypothesis test on the variables of the independent board of commissioners, the change of auditors, the change of directors, and the CEO profile picture, which acted as independent variables, did not affect financial statement fraud. In the variable of the independent board of commissioners, it shows that the t-statistic of the probability value of 0.9688 is more than the significance value of 0.05, the variable of auditor turnover of probability value of 0.5288 is greater than 0.05, the variable of change of directors has a probability value of 0.9446 greater than 0.05, and the CEO profile picture of the probability value shows a result of 0.5806 greater than 0.05. The hypothesis results of the control variable, namely that the financial target does not influence financial statement fraud, are shown with a probability value of 0.2373, greater than the significance value of 0.05. </w:t>
      </w:r>
    </w:p>
    <w:p w14:paraId="00D51C2A" w14:textId="1FAACFE5" w:rsidR="0013488D" w:rsidRPr="000C62D7" w:rsidRDefault="0013488D" w:rsidP="0013488D">
      <w:pPr>
        <w:spacing w:line="240" w:lineRule="auto"/>
        <w:ind w:left="0" w:hanging="2"/>
        <w:jc w:val="both"/>
        <w:rPr>
          <w:rFonts w:ascii="Calibri" w:eastAsia="Times New Roman" w:hAnsi="Calibri" w:cs="Calibri"/>
          <w:sz w:val="22"/>
        </w:rPr>
      </w:pPr>
    </w:p>
    <w:p w14:paraId="76F641C8" w14:textId="77777777" w:rsidR="000C62D7" w:rsidRPr="000C62D7" w:rsidRDefault="000C62D7" w:rsidP="0013488D">
      <w:pPr>
        <w:spacing w:line="240" w:lineRule="auto"/>
        <w:ind w:left="0" w:hanging="2"/>
        <w:jc w:val="both"/>
        <w:rPr>
          <w:rFonts w:ascii="Calibri" w:eastAsia="Times New Roman" w:hAnsi="Calibri" w:cs="Calibri"/>
          <w:sz w:val="22"/>
        </w:rPr>
      </w:pPr>
    </w:p>
    <w:p w14:paraId="0AA63B12" w14:textId="77777777" w:rsidR="0013488D" w:rsidRPr="000C62D7" w:rsidRDefault="0013488D" w:rsidP="0013488D">
      <w:pPr>
        <w:spacing w:line="240" w:lineRule="auto"/>
        <w:ind w:left="0" w:hanging="2"/>
        <w:jc w:val="both"/>
        <w:rPr>
          <w:rFonts w:ascii="Calibri" w:eastAsia="Times New Roman" w:hAnsi="Calibri" w:cs="Calibri"/>
          <w:b/>
          <w:bCs/>
          <w:sz w:val="22"/>
        </w:rPr>
      </w:pPr>
      <w:r w:rsidRPr="000C62D7">
        <w:rPr>
          <w:rFonts w:ascii="Calibri" w:eastAsia="Times New Roman" w:hAnsi="Calibri" w:cs="Calibri"/>
          <w:b/>
          <w:bCs/>
          <w:sz w:val="22"/>
        </w:rPr>
        <w:lastRenderedPageBreak/>
        <w:t>Discussion</w:t>
      </w:r>
    </w:p>
    <w:p w14:paraId="2634E3C7" w14:textId="77777777" w:rsidR="0013488D" w:rsidRPr="000C62D7" w:rsidRDefault="0013488D" w:rsidP="0013488D">
      <w:pPr>
        <w:spacing w:line="240" w:lineRule="auto"/>
        <w:ind w:left="0" w:hanging="2"/>
        <w:jc w:val="both"/>
        <w:rPr>
          <w:rFonts w:ascii="Calibri" w:eastAsia="Times New Roman" w:hAnsi="Calibri" w:cs="Calibri"/>
          <w:b/>
          <w:bCs/>
          <w:sz w:val="22"/>
        </w:rPr>
      </w:pPr>
      <w:r w:rsidRPr="000C62D7">
        <w:rPr>
          <w:rFonts w:ascii="Calibri" w:eastAsia="Times New Roman" w:hAnsi="Calibri" w:cs="Calibri"/>
          <w:b/>
          <w:bCs/>
          <w:sz w:val="22"/>
        </w:rPr>
        <w:t>Financial Stability</w:t>
      </w:r>
    </w:p>
    <w:p w14:paraId="56131E26" w14:textId="74ECFC87"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The empirical findings reveal that financial stability significantly and positively influences the likelihood of financial statement fraud, thereby supporting Hypothesis 1. This result aligns with the pressure componen</w:t>
      </w:r>
      <w:r w:rsidR="004D6359" w:rsidRPr="000C62D7">
        <w:rPr>
          <w:rFonts w:ascii="Calibri" w:eastAsia="Times New Roman" w:hAnsi="Calibri" w:cs="Calibri"/>
          <w:sz w:val="22"/>
        </w:rPr>
        <w:t xml:space="preserve">t of the Fraud Pentagon Theory </w:t>
      </w:r>
      <w:hyperlink w:anchor="Crowe" w:history="1">
        <w:r w:rsidR="004D6359" w:rsidRPr="000C62D7">
          <w:rPr>
            <w:rStyle w:val="Hyperlink"/>
            <w:rFonts w:ascii="Calibri" w:eastAsia="Times New Roman" w:hAnsi="Calibri" w:cs="Calibri"/>
            <w:sz w:val="22"/>
            <w:u w:val="none"/>
          </w:rPr>
          <w:t>Crowe Horwath (</w:t>
        </w:r>
        <w:r w:rsidRPr="000C62D7">
          <w:rPr>
            <w:rStyle w:val="Hyperlink"/>
            <w:rFonts w:ascii="Calibri" w:eastAsia="Times New Roman" w:hAnsi="Calibri" w:cs="Calibri"/>
            <w:sz w:val="22"/>
            <w:u w:val="none"/>
          </w:rPr>
          <w:t>2012)</w:t>
        </w:r>
      </w:hyperlink>
      <w:r w:rsidRPr="000C62D7">
        <w:rPr>
          <w:rFonts w:ascii="Calibri" w:eastAsia="Times New Roman" w:hAnsi="Calibri" w:cs="Calibri"/>
          <w:sz w:val="22"/>
        </w:rPr>
        <w:t>, which posits that financial stress acts as a catalyst for fraudulent behavior. Firms experiencing declines in asset growth or deteriorating financial indicators may prompt managers to respond to pressures from investors, creditors, or government stakeholders by engaging in financial misreporting to preserve the perception of organizational viability.</w:t>
      </w:r>
    </w:p>
    <w:p w14:paraId="08DA1E59" w14:textId="77777777" w:rsidR="0013488D" w:rsidRPr="000C62D7" w:rsidRDefault="0013488D" w:rsidP="0013488D">
      <w:pPr>
        <w:spacing w:line="240" w:lineRule="auto"/>
        <w:ind w:left="0" w:hanging="2"/>
        <w:jc w:val="both"/>
        <w:rPr>
          <w:rFonts w:ascii="Calibri" w:eastAsia="Times New Roman" w:hAnsi="Calibri" w:cs="Calibri"/>
          <w:sz w:val="22"/>
        </w:rPr>
      </w:pPr>
    </w:p>
    <w:p w14:paraId="367879A0" w14:textId="78D17523"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This finding also resonates wi</w:t>
      </w:r>
      <w:r w:rsidR="00D7700E" w:rsidRPr="000C62D7">
        <w:rPr>
          <w:rFonts w:ascii="Calibri" w:eastAsia="Times New Roman" w:hAnsi="Calibri" w:cs="Calibri"/>
          <w:sz w:val="22"/>
        </w:rPr>
        <w:t xml:space="preserve">th the tenets of agency theory </w:t>
      </w:r>
      <w:hyperlink w:anchor="Jensen" w:history="1">
        <w:r w:rsidR="00D7700E" w:rsidRPr="000C62D7">
          <w:rPr>
            <w:rStyle w:val="Hyperlink"/>
            <w:rFonts w:ascii="Calibri" w:eastAsia="Times New Roman" w:hAnsi="Calibri" w:cs="Calibri"/>
            <w:sz w:val="22"/>
            <w:u w:val="none"/>
          </w:rPr>
          <w:t>Jensen and Meckling</w:t>
        </w:r>
        <w:r w:rsidRPr="000C62D7">
          <w:rPr>
            <w:rStyle w:val="Hyperlink"/>
            <w:rFonts w:ascii="Calibri" w:eastAsia="Times New Roman" w:hAnsi="Calibri" w:cs="Calibri"/>
            <w:sz w:val="22"/>
            <w:u w:val="none"/>
          </w:rPr>
          <w:t xml:space="preserve"> </w:t>
        </w:r>
        <w:r w:rsidR="00D7700E" w:rsidRPr="000C62D7">
          <w:rPr>
            <w:rStyle w:val="Hyperlink"/>
            <w:rFonts w:ascii="Calibri" w:eastAsia="Times New Roman" w:hAnsi="Calibri" w:cs="Calibri"/>
            <w:sz w:val="22"/>
            <w:u w:val="none"/>
          </w:rPr>
          <w:t>(</w:t>
        </w:r>
        <w:r w:rsidRPr="000C62D7">
          <w:rPr>
            <w:rStyle w:val="Hyperlink"/>
            <w:rFonts w:ascii="Calibri" w:eastAsia="Times New Roman" w:hAnsi="Calibri" w:cs="Calibri"/>
            <w:sz w:val="22"/>
            <w:u w:val="none"/>
          </w:rPr>
          <w:t>1976)</w:t>
        </w:r>
      </w:hyperlink>
      <w:r w:rsidRPr="000C62D7">
        <w:rPr>
          <w:rFonts w:ascii="Calibri" w:eastAsia="Times New Roman" w:hAnsi="Calibri" w:cs="Calibri"/>
          <w:sz w:val="22"/>
        </w:rPr>
        <w:t xml:space="preserve">, which explains that when the interests of managers and shareholders diverge, information asymmetry can incentivize opportunistic behavior. Under high pressure, managers may prioritize personal or political survival over transparency, particularly in SOEs where financial performance expectations are amplified. These results align with prior studies by </w:t>
      </w:r>
      <w:hyperlink w:anchor="Situngkir" w:history="1">
        <w:proofErr w:type="spellStart"/>
        <w:r w:rsidRPr="000C62D7">
          <w:rPr>
            <w:rStyle w:val="Hyperlink"/>
            <w:rFonts w:ascii="Calibri" w:eastAsia="Times New Roman" w:hAnsi="Calibri" w:cs="Calibri"/>
            <w:sz w:val="22"/>
            <w:u w:val="none"/>
          </w:rPr>
          <w:t>Situngkir</w:t>
        </w:r>
        <w:proofErr w:type="spellEnd"/>
        <w:r w:rsidRPr="000C62D7">
          <w:rPr>
            <w:rStyle w:val="Hyperlink"/>
            <w:rFonts w:ascii="Calibri" w:eastAsia="Times New Roman" w:hAnsi="Calibri" w:cs="Calibri"/>
            <w:sz w:val="22"/>
            <w:u w:val="none"/>
          </w:rPr>
          <w:t xml:space="preserve"> </w:t>
        </w:r>
        <w:r w:rsidR="00BD6A39" w:rsidRPr="000C62D7">
          <w:rPr>
            <w:rStyle w:val="Hyperlink"/>
            <w:rFonts w:ascii="Calibri" w:eastAsia="Times New Roman" w:hAnsi="Calibri" w:cs="Calibri"/>
            <w:sz w:val="22"/>
            <w:u w:val="none"/>
          </w:rPr>
          <w:t>and</w:t>
        </w:r>
        <w:r w:rsidRPr="000C62D7">
          <w:rPr>
            <w:rStyle w:val="Hyperlink"/>
            <w:rFonts w:ascii="Calibri" w:eastAsia="Times New Roman" w:hAnsi="Calibri" w:cs="Calibri"/>
            <w:sz w:val="22"/>
            <w:u w:val="none"/>
          </w:rPr>
          <w:t xml:space="preserve"> Triyanto (2020)</w:t>
        </w:r>
      </w:hyperlink>
      <w:r w:rsidRPr="000C62D7">
        <w:rPr>
          <w:rFonts w:ascii="Calibri" w:eastAsia="Times New Roman" w:hAnsi="Calibri" w:cs="Calibri"/>
          <w:sz w:val="22"/>
        </w:rPr>
        <w:t xml:space="preserve">, </w:t>
      </w:r>
      <w:hyperlink w:anchor="Saadah" w:history="1">
        <w:r w:rsidRPr="000C62D7">
          <w:rPr>
            <w:rStyle w:val="Hyperlink"/>
            <w:rFonts w:ascii="Calibri" w:eastAsia="Times New Roman" w:hAnsi="Calibri" w:cs="Calibri"/>
            <w:sz w:val="22"/>
            <w:u w:val="none"/>
          </w:rPr>
          <w:t>Sa'adah et al. (2022),</w:t>
        </w:r>
      </w:hyperlink>
      <w:r w:rsidRPr="000C62D7">
        <w:rPr>
          <w:rFonts w:ascii="Calibri" w:eastAsia="Times New Roman" w:hAnsi="Calibri" w:cs="Calibri"/>
          <w:sz w:val="22"/>
        </w:rPr>
        <w:t xml:space="preserve"> and </w:t>
      </w:r>
      <w:hyperlink w:anchor="Salsabilla" w:history="1">
        <w:proofErr w:type="spellStart"/>
        <w:r w:rsidRPr="000C62D7">
          <w:rPr>
            <w:rStyle w:val="Hyperlink"/>
            <w:rFonts w:ascii="Calibri" w:eastAsia="Times New Roman" w:hAnsi="Calibri" w:cs="Calibri"/>
            <w:sz w:val="22"/>
            <w:u w:val="none"/>
          </w:rPr>
          <w:t>Salsabilla</w:t>
        </w:r>
        <w:proofErr w:type="spellEnd"/>
        <w:r w:rsidRPr="000C62D7">
          <w:rPr>
            <w:rStyle w:val="Hyperlink"/>
            <w:rFonts w:ascii="Calibri" w:eastAsia="Times New Roman" w:hAnsi="Calibri" w:cs="Calibri"/>
            <w:sz w:val="22"/>
            <w:u w:val="none"/>
          </w:rPr>
          <w:t xml:space="preserve"> </w:t>
        </w:r>
        <w:r w:rsidR="00401F9E" w:rsidRPr="000C62D7">
          <w:rPr>
            <w:rStyle w:val="Hyperlink"/>
            <w:rFonts w:ascii="Calibri" w:eastAsia="Times New Roman" w:hAnsi="Calibri" w:cs="Calibri"/>
            <w:sz w:val="22"/>
            <w:u w:val="none"/>
          </w:rPr>
          <w:t>and</w:t>
        </w:r>
        <w:r w:rsidRPr="000C62D7">
          <w:rPr>
            <w:rStyle w:val="Hyperlink"/>
            <w:rFonts w:ascii="Calibri" w:eastAsia="Times New Roman" w:hAnsi="Calibri" w:cs="Calibri"/>
            <w:sz w:val="22"/>
            <w:u w:val="none"/>
          </w:rPr>
          <w:t xml:space="preserve"> </w:t>
        </w:r>
        <w:proofErr w:type="spellStart"/>
        <w:r w:rsidRPr="000C62D7">
          <w:rPr>
            <w:rStyle w:val="Hyperlink"/>
            <w:rFonts w:ascii="Calibri" w:eastAsia="Times New Roman" w:hAnsi="Calibri" w:cs="Calibri"/>
            <w:sz w:val="22"/>
            <w:u w:val="none"/>
          </w:rPr>
          <w:t>Fitri</w:t>
        </w:r>
        <w:proofErr w:type="spellEnd"/>
        <w:r w:rsidRPr="000C62D7">
          <w:rPr>
            <w:rStyle w:val="Hyperlink"/>
            <w:rFonts w:ascii="Calibri" w:eastAsia="Times New Roman" w:hAnsi="Calibri" w:cs="Calibri"/>
            <w:sz w:val="22"/>
            <w:u w:val="none"/>
          </w:rPr>
          <w:t xml:space="preserve"> (2023)</w:t>
        </w:r>
      </w:hyperlink>
      <w:r w:rsidRPr="000C62D7">
        <w:rPr>
          <w:rFonts w:ascii="Calibri" w:eastAsia="Times New Roman" w:hAnsi="Calibri" w:cs="Calibri"/>
          <w:sz w:val="22"/>
        </w:rPr>
        <w:t xml:space="preserve">, all of which demonstrate that firms under financial duress are more prone to misrepresent their earnings to obscure operational weaknesses. Furthermore, </w:t>
      </w:r>
      <w:hyperlink w:anchor="Aulia" w:history="1">
        <w:proofErr w:type="spellStart"/>
        <w:r w:rsidRPr="000C62D7">
          <w:rPr>
            <w:rStyle w:val="Hyperlink"/>
            <w:rFonts w:ascii="Calibri" w:eastAsia="Times New Roman" w:hAnsi="Calibri" w:cs="Calibri"/>
            <w:sz w:val="22"/>
            <w:u w:val="none"/>
          </w:rPr>
          <w:t>Aulia</w:t>
        </w:r>
        <w:proofErr w:type="spellEnd"/>
        <w:r w:rsidRPr="000C62D7">
          <w:rPr>
            <w:rStyle w:val="Hyperlink"/>
            <w:rFonts w:ascii="Calibri" w:eastAsia="Times New Roman" w:hAnsi="Calibri" w:cs="Calibri"/>
            <w:sz w:val="22"/>
            <w:u w:val="none"/>
          </w:rPr>
          <w:t xml:space="preserve"> and </w:t>
        </w:r>
        <w:proofErr w:type="spellStart"/>
        <w:r w:rsidRPr="000C62D7">
          <w:rPr>
            <w:rStyle w:val="Hyperlink"/>
            <w:rFonts w:ascii="Calibri" w:eastAsia="Times New Roman" w:hAnsi="Calibri" w:cs="Calibri"/>
            <w:sz w:val="22"/>
            <w:u w:val="none"/>
          </w:rPr>
          <w:t>Budiwitjaksono</w:t>
        </w:r>
        <w:proofErr w:type="spellEnd"/>
        <w:r w:rsidRPr="000C62D7">
          <w:rPr>
            <w:rStyle w:val="Hyperlink"/>
            <w:rFonts w:ascii="Calibri" w:eastAsia="Times New Roman" w:hAnsi="Calibri" w:cs="Calibri"/>
            <w:sz w:val="22"/>
            <w:u w:val="none"/>
          </w:rPr>
          <w:t xml:space="preserve"> (2020)</w:t>
        </w:r>
      </w:hyperlink>
      <w:r w:rsidRPr="000C62D7">
        <w:rPr>
          <w:rFonts w:ascii="Calibri" w:eastAsia="Times New Roman" w:hAnsi="Calibri" w:cs="Calibri"/>
          <w:sz w:val="22"/>
        </w:rPr>
        <w:t xml:space="preserve"> emphasize that financial distress is often a precursor to earnings manipulation in SOEs, especially when compounded by political demands. These insights reinforce the argument that financial instability is a potent driver of fraudulent reporting in public-sector enterprises.</w:t>
      </w:r>
    </w:p>
    <w:p w14:paraId="46DEBACD" w14:textId="77777777" w:rsidR="0013488D" w:rsidRPr="000C62D7" w:rsidRDefault="0013488D" w:rsidP="0013488D">
      <w:pPr>
        <w:spacing w:line="240" w:lineRule="auto"/>
        <w:ind w:left="0" w:hanging="2"/>
        <w:jc w:val="both"/>
        <w:rPr>
          <w:rFonts w:ascii="Calibri" w:eastAsia="Times New Roman" w:hAnsi="Calibri" w:cs="Calibri"/>
          <w:sz w:val="22"/>
        </w:rPr>
      </w:pPr>
    </w:p>
    <w:p w14:paraId="69B135D8" w14:textId="77777777" w:rsidR="0013488D" w:rsidRPr="000C62D7" w:rsidRDefault="0013488D" w:rsidP="0013488D">
      <w:pPr>
        <w:spacing w:line="240" w:lineRule="auto"/>
        <w:ind w:left="0" w:hanging="2"/>
        <w:jc w:val="both"/>
        <w:rPr>
          <w:rFonts w:ascii="Calibri" w:eastAsia="Times New Roman" w:hAnsi="Calibri" w:cs="Calibri"/>
          <w:b/>
          <w:bCs/>
          <w:sz w:val="22"/>
        </w:rPr>
      </w:pPr>
      <w:r w:rsidRPr="000C62D7">
        <w:rPr>
          <w:rFonts w:ascii="Calibri" w:eastAsia="Times New Roman" w:hAnsi="Calibri" w:cs="Calibri"/>
          <w:b/>
          <w:bCs/>
          <w:sz w:val="22"/>
        </w:rPr>
        <w:t>Independent Commissioners</w:t>
      </w:r>
    </w:p>
    <w:p w14:paraId="4E6B8479" w14:textId="32CAED09"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Contrary to expectations, the proportion of independent commissioners does not significantly affect the likelihood of financial statement fraud, leading to the rejection of Hypothesis 2. This outcome diverges from the opportunity dimension of the Fraud Pentagon Theory, which suggests that weak internal controls and ineffective governance structures provide the conditions necessary for fraud to occur. While independent commissioners are designed to function as key management monitors, their effectiveness is often undermined in SOEs due to limited access to critical information, limited authority, and political entanglement.</w:t>
      </w:r>
    </w:p>
    <w:p w14:paraId="2DF44EA8" w14:textId="77777777" w:rsidR="0013488D" w:rsidRPr="000C62D7" w:rsidRDefault="0013488D" w:rsidP="0013488D">
      <w:pPr>
        <w:spacing w:line="240" w:lineRule="auto"/>
        <w:ind w:left="0" w:hanging="2"/>
        <w:jc w:val="both"/>
        <w:rPr>
          <w:rFonts w:ascii="Calibri" w:eastAsia="Times New Roman" w:hAnsi="Calibri" w:cs="Calibri"/>
          <w:sz w:val="22"/>
        </w:rPr>
      </w:pPr>
    </w:p>
    <w:p w14:paraId="0DC5EA1B" w14:textId="0C95F24F"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 xml:space="preserve">This result is consistent with prior empirical findings by </w:t>
      </w:r>
      <w:hyperlink w:anchor="Koharudin" w:history="1">
        <w:proofErr w:type="spellStart"/>
        <w:r w:rsidRPr="000C62D7">
          <w:rPr>
            <w:rStyle w:val="Hyperlink"/>
            <w:rFonts w:ascii="Calibri" w:eastAsia="Times New Roman" w:hAnsi="Calibri" w:cs="Calibri"/>
            <w:sz w:val="22"/>
            <w:u w:val="none"/>
          </w:rPr>
          <w:t>Koharudin</w:t>
        </w:r>
        <w:proofErr w:type="spellEnd"/>
        <w:r w:rsidRPr="000C62D7">
          <w:rPr>
            <w:rStyle w:val="Hyperlink"/>
            <w:rFonts w:ascii="Calibri" w:eastAsia="Times New Roman" w:hAnsi="Calibri" w:cs="Calibri"/>
            <w:sz w:val="22"/>
            <w:u w:val="none"/>
          </w:rPr>
          <w:t xml:space="preserve"> </w:t>
        </w:r>
        <w:r w:rsidR="006B0538" w:rsidRPr="000C62D7">
          <w:rPr>
            <w:rStyle w:val="Hyperlink"/>
            <w:rFonts w:ascii="Calibri" w:eastAsia="Times New Roman" w:hAnsi="Calibri" w:cs="Calibri"/>
            <w:sz w:val="22"/>
            <w:u w:val="none"/>
          </w:rPr>
          <w:t>and</w:t>
        </w:r>
        <w:r w:rsidRPr="000C62D7">
          <w:rPr>
            <w:rStyle w:val="Hyperlink"/>
            <w:rFonts w:ascii="Calibri" w:eastAsia="Times New Roman" w:hAnsi="Calibri" w:cs="Calibri"/>
            <w:sz w:val="22"/>
            <w:u w:val="none"/>
          </w:rPr>
          <w:t xml:space="preserve"> </w:t>
        </w:r>
        <w:proofErr w:type="spellStart"/>
        <w:r w:rsidRPr="000C62D7">
          <w:rPr>
            <w:rStyle w:val="Hyperlink"/>
            <w:rFonts w:ascii="Calibri" w:eastAsia="Times New Roman" w:hAnsi="Calibri" w:cs="Calibri"/>
            <w:sz w:val="22"/>
            <w:u w:val="none"/>
          </w:rPr>
          <w:t>Januarti</w:t>
        </w:r>
        <w:proofErr w:type="spellEnd"/>
        <w:r w:rsidRPr="000C62D7">
          <w:rPr>
            <w:rStyle w:val="Hyperlink"/>
            <w:rFonts w:ascii="Calibri" w:eastAsia="Times New Roman" w:hAnsi="Calibri" w:cs="Calibri"/>
            <w:sz w:val="22"/>
            <w:u w:val="none"/>
          </w:rPr>
          <w:t xml:space="preserve"> (2021)</w:t>
        </w:r>
      </w:hyperlink>
      <w:r w:rsidRPr="000C62D7">
        <w:rPr>
          <w:rFonts w:ascii="Calibri" w:eastAsia="Times New Roman" w:hAnsi="Calibri" w:cs="Calibri"/>
          <w:sz w:val="22"/>
        </w:rPr>
        <w:t xml:space="preserve"> and </w:t>
      </w:r>
      <w:hyperlink w:anchor="Randa" w:history="1">
        <w:r w:rsidRPr="000C62D7">
          <w:rPr>
            <w:rStyle w:val="Hyperlink"/>
            <w:rFonts w:ascii="Calibri" w:eastAsia="Times New Roman" w:hAnsi="Calibri" w:cs="Calibri"/>
            <w:sz w:val="22"/>
            <w:u w:val="none"/>
          </w:rPr>
          <w:t xml:space="preserve">Randa </w:t>
        </w:r>
        <w:r w:rsidR="006B0538" w:rsidRPr="000C62D7">
          <w:rPr>
            <w:rStyle w:val="Hyperlink"/>
            <w:rFonts w:ascii="Calibri" w:eastAsia="Times New Roman" w:hAnsi="Calibri" w:cs="Calibri"/>
            <w:sz w:val="22"/>
            <w:u w:val="none"/>
          </w:rPr>
          <w:t>and</w:t>
        </w:r>
        <w:r w:rsidRPr="000C62D7">
          <w:rPr>
            <w:rStyle w:val="Hyperlink"/>
            <w:rFonts w:ascii="Calibri" w:eastAsia="Times New Roman" w:hAnsi="Calibri" w:cs="Calibri"/>
            <w:sz w:val="22"/>
            <w:u w:val="none"/>
          </w:rPr>
          <w:t xml:space="preserve"> </w:t>
        </w:r>
        <w:proofErr w:type="spellStart"/>
        <w:r w:rsidRPr="000C62D7">
          <w:rPr>
            <w:rStyle w:val="Hyperlink"/>
            <w:rFonts w:ascii="Calibri" w:eastAsia="Times New Roman" w:hAnsi="Calibri" w:cs="Calibri"/>
            <w:sz w:val="22"/>
            <w:u w:val="none"/>
          </w:rPr>
          <w:t>Dwita</w:t>
        </w:r>
        <w:proofErr w:type="spellEnd"/>
        <w:r w:rsidRPr="000C62D7">
          <w:rPr>
            <w:rStyle w:val="Hyperlink"/>
            <w:rFonts w:ascii="Calibri" w:eastAsia="Times New Roman" w:hAnsi="Calibri" w:cs="Calibri"/>
            <w:sz w:val="22"/>
            <w:u w:val="none"/>
          </w:rPr>
          <w:t xml:space="preserve"> (2024)</w:t>
        </w:r>
      </w:hyperlink>
      <w:r w:rsidRPr="000C62D7">
        <w:rPr>
          <w:rFonts w:ascii="Calibri" w:eastAsia="Times New Roman" w:hAnsi="Calibri" w:cs="Calibri"/>
          <w:sz w:val="22"/>
        </w:rPr>
        <w:t xml:space="preserve">, who argue that the presence of independent commissioners in Indonesian firms often reflects symbolic compliance with regulatory requirements (e.g., POJK No. 33/POJK.04/2014), rather than genuine oversight capacity. </w:t>
      </w:r>
      <w:hyperlink w:anchor="Triyani" w:history="1">
        <w:proofErr w:type="spellStart"/>
        <w:r w:rsidRPr="000C62D7">
          <w:rPr>
            <w:rStyle w:val="Hyperlink"/>
            <w:rFonts w:ascii="Calibri" w:eastAsia="Times New Roman" w:hAnsi="Calibri" w:cs="Calibri"/>
            <w:sz w:val="22"/>
            <w:u w:val="none"/>
          </w:rPr>
          <w:t>Triyani</w:t>
        </w:r>
        <w:proofErr w:type="spellEnd"/>
        <w:r w:rsidRPr="000C62D7">
          <w:rPr>
            <w:rStyle w:val="Hyperlink"/>
            <w:rFonts w:ascii="Calibri" w:eastAsia="Times New Roman" w:hAnsi="Calibri" w:cs="Calibri"/>
            <w:sz w:val="22"/>
            <w:u w:val="none"/>
          </w:rPr>
          <w:t xml:space="preserve"> et al. (2019)</w:t>
        </w:r>
      </w:hyperlink>
      <w:r w:rsidRPr="000C62D7">
        <w:rPr>
          <w:rFonts w:ascii="Calibri" w:eastAsia="Times New Roman" w:hAnsi="Calibri" w:cs="Calibri"/>
          <w:sz w:val="22"/>
        </w:rPr>
        <w:t xml:space="preserve"> and </w:t>
      </w:r>
      <w:hyperlink w:anchor="Kurniawan" w:history="1">
        <w:r w:rsidRPr="000C62D7">
          <w:rPr>
            <w:rStyle w:val="Hyperlink"/>
            <w:rFonts w:ascii="Calibri" w:eastAsia="Times New Roman" w:hAnsi="Calibri" w:cs="Calibri"/>
            <w:sz w:val="22"/>
            <w:u w:val="none"/>
          </w:rPr>
          <w:t>Kurniawan et al. (2020)</w:t>
        </w:r>
      </w:hyperlink>
      <w:r w:rsidRPr="000C62D7">
        <w:rPr>
          <w:rFonts w:ascii="Calibri" w:eastAsia="Times New Roman" w:hAnsi="Calibri" w:cs="Calibri"/>
          <w:sz w:val="22"/>
        </w:rPr>
        <w:t xml:space="preserve"> further highlight that independent</w:t>
      </w:r>
      <w:r w:rsidR="006B0538" w:rsidRPr="000C62D7">
        <w:rPr>
          <w:rFonts w:ascii="Calibri" w:eastAsia="Times New Roman" w:hAnsi="Calibri" w:cs="Calibri"/>
          <w:sz w:val="22"/>
        </w:rPr>
        <w:t xml:space="preserve"> </w:t>
      </w:r>
      <w:r w:rsidRPr="000C62D7">
        <w:rPr>
          <w:rFonts w:ascii="Calibri" w:eastAsia="Times New Roman" w:hAnsi="Calibri" w:cs="Calibri"/>
          <w:sz w:val="22"/>
        </w:rPr>
        <w:t>commissioners in SOEs frequently lack autonomy due to overlapping roles and limited influence in boardroom decisions. These findings suggest that without institutional empowerment and capacity building, the formal presence of independent commissioners may not be sufficient to deter fraudulent behavior, particularly within state-affiliated governance environments.</w:t>
      </w:r>
    </w:p>
    <w:p w14:paraId="7CB2C09B" w14:textId="77777777" w:rsidR="0013488D" w:rsidRPr="000C62D7" w:rsidRDefault="0013488D" w:rsidP="0013488D">
      <w:pPr>
        <w:spacing w:line="240" w:lineRule="auto"/>
        <w:ind w:left="0" w:hanging="2"/>
        <w:jc w:val="both"/>
        <w:rPr>
          <w:rFonts w:ascii="Calibri" w:eastAsia="Times New Roman" w:hAnsi="Calibri" w:cs="Calibri"/>
          <w:sz w:val="22"/>
        </w:rPr>
      </w:pPr>
    </w:p>
    <w:p w14:paraId="7094005A" w14:textId="77777777" w:rsidR="0013488D" w:rsidRPr="000C62D7" w:rsidRDefault="0013488D" w:rsidP="0013488D">
      <w:pPr>
        <w:spacing w:line="240" w:lineRule="auto"/>
        <w:ind w:left="0" w:hanging="2"/>
        <w:jc w:val="both"/>
        <w:rPr>
          <w:rFonts w:ascii="Calibri" w:eastAsia="Times New Roman" w:hAnsi="Calibri" w:cs="Calibri"/>
          <w:b/>
          <w:bCs/>
          <w:sz w:val="22"/>
        </w:rPr>
      </w:pPr>
      <w:r w:rsidRPr="000C62D7">
        <w:rPr>
          <w:rFonts w:ascii="Calibri" w:eastAsia="Times New Roman" w:hAnsi="Calibri" w:cs="Calibri"/>
          <w:b/>
          <w:bCs/>
          <w:sz w:val="22"/>
        </w:rPr>
        <w:t>Auditor Turnover</w:t>
      </w:r>
    </w:p>
    <w:p w14:paraId="78DE7B3F" w14:textId="107A5B73"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The analysis further reveals that auditor turnover does not significantly affect the incidence of financial statement fraud, resulting in the rejection of Hypothesis 3. Although the rationalization element of the Fraud Pentagon Theory posits that individuals may legitimize fraud through perceived necessity, the frequency of auditor changes in this study appears to reflect routine professional practice rather than strategic intent to conceal wrongdoing.</w:t>
      </w:r>
    </w:p>
    <w:p w14:paraId="41130B24" w14:textId="77777777" w:rsidR="0013488D" w:rsidRPr="000C62D7" w:rsidRDefault="0013488D" w:rsidP="0013488D">
      <w:pPr>
        <w:spacing w:line="240" w:lineRule="auto"/>
        <w:ind w:left="0" w:hanging="2"/>
        <w:jc w:val="both"/>
        <w:rPr>
          <w:rFonts w:ascii="Calibri" w:eastAsia="Times New Roman" w:hAnsi="Calibri" w:cs="Calibri"/>
          <w:sz w:val="22"/>
        </w:rPr>
      </w:pPr>
    </w:p>
    <w:p w14:paraId="0A2B1826" w14:textId="5A1CE10B"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 xml:space="preserve">Empirical support for this interpretation can be found in studies by </w:t>
      </w:r>
      <w:hyperlink w:anchor="Ghaisani" w:history="1">
        <w:proofErr w:type="spellStart"/>
        <w:r w:rsidRPr="000C62D7">
          <w:rPr>
            <w:rStyle w:val="Hyperlink"/>
            <w:rFonts w:ascii="Calibri" w:eastAsia="Times New Roman" w:hAnsi="Calibri" w:cs="Calibri"/>
            <w:sz w:val="22"/>
            <w:u w:val="none"/>
          </w:rPr>
          <w:t>Ghaisani</w:t>
        </w:r>
        <w:proofErr w:type="spellEnd"/>
        <w:r w:rsidRPr="000C62D7">
          <w:rPr>
            <w:rStyle w:val="Hyperlink"/>
            <w:rFonts w:ascii="Calibri" w:eastAsia="Times New Roman" w:hAnsi="Calibri" w:cs="Calibri"/>
            <w:sz w:val="22"/>
            <w:u w:val="none"/>
          </w:rPr>
          <w:t xml:space="preserve"> </w:t>
        </w:r>
        <w:r w:rsidR="00D7700E" w:rsidRPr="000C62D7">
          <w:rPr>
            <w:rStyle w:val="Hyperlink"/>
            <w:rFonts w:ascii="Calibri" w:eastAsia="Times New Roman" w:hAnsi="Calibri" w:cs="Calibri"/>
            <w:sz w:val="22"/>
            <w:u w:val="none"/>
          </w:rPr>
          <w:t>and</w:t>
        </w:r>
        <w:r w:rsidRPr="000C62D7">
          <w:rPr>
            <w:rStyle w:val="Hyperlink"/>
            <w:rFonts w:ascii="Calibri" w:eastAsia="Times New Roman" w:hAnsi="Calibri" w:cs="Calibri"/>
            <w:sz w:val="22"/>
            <w:u w:val="none"/>
          </w:rPr>
          <w:t xml:space="preserve"> </w:t>
        </w:r>
        <w:proofErr w:type="spellStart"/>
        <w:r w:rsidRPr="000C62D7">
          <w:rPr>
            <w:rStyle w:val="Hyperlink"/>
            <w:rFonts w:ascii="Calibri" w:eastAsia="Times New Roman" w:hAnsi="Calibri" w:cs="Calibri"/>
            <w:sz w:val="22"/>
            <w:u w:val="none"/>
          </w:rPr>
          <w:t>Supatmi</w:t>
        </w:r>
        <w:proofErr w:type="spellEnd"/>
        <w:r w:rsidRPr="000C62D7">
          <w:rPr>
            <w:rStyle w:val="Hyperlink"/>
            <w:rFonts w:ascii="Calibri" w:eastAsia="Times New Roman" w:hAnsi="Calibri" w:cs="Calibri"/>
            <w:sz w:val="22"/>
            <w:u w:val="none"/>
          </w:rPr>
          <w:t xml:space="preserve"> (2022)</w:t>
        </w:r>
      </w:hyperlink>
      <w:r w:rsidRPr="000C62D7">
        <w:rPr>
          <w:rFonts w:ascii="Calibri" w:eastAsia="Times New Roman" w:hAnsi="Calibri" w:cs="Calibri"/>
          <w:sz w:val="22"/>
        </w:rPr>
        <w:t xml:space="preserve"> and </w:t>
      </w:r>
      <w:hyperlink w:anchor="Tanjung" w:history="1">
        <w:r w:rsidRPr="000C62D7">
          <w:rPr>
            <w:rStyle w:val="Hyperlink"/>
            <w:rFonts w:ascii="Calibri" w:eastAsia="Times New Roman" w:hAnsi="Calibri" w:cs="Calibri"/>
            <w:sz w:val="22"/>
            <w:u w:val="none"/>
          </w:rPr>
          <w:t xml:space="preserve">Tanjung </w:t>
        </w:r>
        <w:r w:rsidR="009B087A" w:rsidRPr="000C62D7">
          <w:rPr>
            <w:rStyle w:val="Hyperlink"/>
            <w:rFonts w:ascii="Calibri" w:eastAsia="Times New Roman" w:hAnsi="Calibri" w:cs="Calibri"/>
            <w:sz w:val="22"/>
            <w:u w:val="none"/>
          </w:rPr>
          <w:t>and</w:t>
        </w:r>
        <w:r w:rsidRPr="000C62D7">
          <w:rPr>
            <w:rStyle w:val="Hyperlink"/>
            <w:rFonts w:ascii="Calibri" w:eastAsia="Times New Roman" w:hAnsi="Calibri" w:cs="Calibri"/>
            <w:sz w:val="22"/>
            <w:u w:val="none"/>
          </w:rPr>
          <w:t xml:space="preserve"> Fitriani (2023)</w:t>
        </w:r>
      </w:hyperlink>
      <w:r w:rsidRPr="000C62D7">
        <w:rPr>
          <w:rFonts w:ascii="Calibri" w:eastAsia="Times New Roman" w:hAnsi="Calibri" w:cs="Calibri"/>
          <w:sz w:val="22"/>
        </w:rPr>
        <w:t xml:space="preserve">, who observed that auditor changes in Indonesia are commonly driven by internal rotation policies, dissatisfaction with service quality, or regulatory mandates—such as the Ministry of Finance Regulation No. 17/PMK.01/2008 on mandatory auditor rotation. Particularly in SOEs, auditor changes are often administrative rather than manipulative. </w:t>
      </w:r>
      <w:hyperlink w:anchor="Wibowo" w:history="1">
        <w:r w:rsidRPr="000C62D7">
          <w:rPr>
            <w:rStyle w:val="Hyperlink"/>
            <w:rFonts w:ascii="Calibri" w:eastAsia="Times New Roman" w:hAnsi="Calibri" w:cs="Calibri"/>
            <w:sz w:val="22"/>
            <w:u w:val="none"/>
          </w:rPr>
          <w:t>Wibowo and Putra (2023)</w:t>
        </w:r>
      </w:hyperlink>
      <w:r w:rsidRPr="000C62D7">
        <w:rPr>
          <w:rFonts w:ascii="Calibri" w:eastAsia="Times New Roman" w:hAnsi="Calibri" w:cs="Calibri"/>
          <w:sz w:val="22"/>
        </w:rPr>
        <w:t xml:space="preserve"> emphasize that fraud prevention is more closely tied to auditor independence and audit tenure than turnover frequency alone. These insights </w:t>
      </w:r>
      <w:r w:rsidRPr="000C62D7">
        <w:rPr>
          <w:rFonts w:ascii="Calibri" w:eastAsia="Times New Roman" w:hAnsi="Calibri" w:cs="Calibri"/>
          <w:sz w:val="22"/>
        </w:rPr>
        <w:lastRenderedPageBreak/>
        <w:t>suggest that using auditor rotation as a proxy for rationalization may lack validity and that more nuanced indicators—such as the tone of internal communications or audit committee interventions—may better capture the ethical justifications underlying fraudulent acts.</w:t>
      </w:r>
    </w:p>
    <w:p w14:paraId="324A31D0" w14:textId="77777777" w:rsidR="0013488D" w:rsidRPr="000C62D7" w:rsidRDefault="0013488D" w:rsidP="0013488D">
      <w:pPr>
        <w:spacing w:line="240" w:lineRule="auto"/>
        <w:ind w:left="0" w:hanging="2"/>
        <w:jc w:val="both"/>
        <w:rPr>
          <w:rFonts w:ascii="Calibri" w:eastAsia="Times New Roman" w:hAnsi="Calibri" w:cs="Calibri"/>
          <w:sz w:val="22"/>
        </w:rPr>
      </w:pPr>
    </w:p>
    <w:p w14:paraId="6365C164" w14:textId="77777777" w:rsidR="0013488D" w:rsidRPr="000C62D7" w:rsidRDefault="0013488D" w:rsidP="0013488D">
      <w:pPr>
        <w:spacing w:line="240" w:lineRule="auto"/>
        <w:ind w:left="0" w:hanging="2"/>
        <w:jc w:val="both"/>
        <w:rPr>
          <w:rFonts w:ascii="Calibri" w:eastAsia="Times New Roman" w:hAnsi="Calibri" w:cs="Calibri"/>
          <w:b/>
          <w:bCs/>
          <w:sz w:val="22"/>
        </w:rPr>
      </w:pPr>
      <w:r w:rsidRPr="000C62D7">
        <w:rPr>
          <w:rFonts w:ascii="Calibri" w:eastAsia="Times New Roman" w:hAnsi="Calibri" w:cs="Calibri"/>
          <w:b/>
          <w:bCs/>
          <w:sz w:val="22"/>
        </w:rPr>
        <w:t>Board of Directors Turnover</w:t>
      </w:r>
    </w:p>
    <w:p w14:paraId="51B90872" w14:textId="129F3F0B"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 xml:space="preserve">Hypothesis 4, which proposed a significant relationship between board of </w:t>
      </w:r>
      <w:proofErr w:type="gramStart"/>
      <w:r w:rsidRPr="000C62D7">
        <w:rPr>
          <w:rFonts w:ascii="Calibri" w:eastAsia="Times New Roman" w:hAnsi="Calibri" w:cs="Calibri"/>
          <w:sz w:val="22"/>
        </w:rPr>
        <w:t>directors</w:t>
      </w:r>
      <w:proofErr w:type="gramEnd"/>
      <w:r w:rsidRPr="000C62D7">
        <w:rPr>
          <w:rFonts w:ascii="Calibri" w:eastAsia="Times New Roman" w:hAnsi="Calibri" w:cs="Calibri"/>
          <w:sz w:val="22"/>
        </w:rPr>
        <w:t xml:space="preserve"> turnover and financial statement fraud, is also not supported. This finding challenges the assumption embedded in the Fraud Pentagon framework that newly appointed individuals, equipped with authority and insider knowledge, inherently possess the capability to commit fraud. Instead, the results suggest that capability does not necessarily translate into intent or opportunity for fraud, especially in organizations with established monitoring mechanisms.</w:t>
      </w:r>
    </w:p>
    <w:p w14:paraId="0242501B" w14:textId="77777777" w:rsidR="0013488D" w:rsidRPr="000C62D7" w:rsidRDefault="0013488D" w:rsidP="0013488D">
      <w:pPr>
        <w:spacing w:line="240" w:lineRule="auto"/>
        <w:ind w:left="0" w:hanging="2"/>
        <w:jc w:val="both"/>
        <w:rPr>
          <w:rFonts w:ascii="Calibri" w:eastAsia="Times New Roman" w:hAnsi="Calibri" w:cs="Calibri"/>
          <w:sz w:val="22"/>
        </w:rPr>
      </w:pPr>
    </w:p>
    <w:p w14:paraId="4285E591" w14:textId="43E1F6F0"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 xml:space="preserve">This interpretation is supported by </w:t>
      </w:r>
      <w:hyperlink w:anchor="Wibowo" w:history="1">
        <w:r w:rsidRPr="000C62D7">
          <w:rPr>
            <w:rStyle w:val="Hyperlink"/>
            <w:rFonts w:ascii="Calibri" w:eastAsia="Times New Roman" w:hAnsi="Calibri" w:cs="Calibri"/>
            <w:sz w:val="22"/>
            <w:u w:val="none"/>
          </w:rPr>
          <w:t xml:space="preserve">Wibowo </w:t>
        </w:r>
        <w:r w:rsidR="003437CB" w:rsidRPr="000C62D7">
          <w:rPr>
            <w:rStyle w:val="Hyperlink"/>
            <w:rFonts w:ascii="Calibri" w:eastAsia="Times New Roman" w:hAnsi="Calibri" w:cs="Calibri"/>
            <w:sz w:val="22"/>
            <w:u w:val="none"/>
          </w:rPr>
          <w:t>and</w:t>
        </w:r>
        <w:r w:rsidRPr="000C62D7">
          <w:rPr>
            <w:rStyle w:val="Hyperlink"/>
            <w:rFonts w:ascii="Calibri" w:eastAsia="Times New Roman" w:hAnsi="Calibri" w:cs="Calibri"/>
            <w:sz w:val="22"/>
            <w:u w:val="none"/>
          </w:rPr>
          <w:t xml:space="preserve"> Putra (2023)</w:t>
        </w:r>
      </w:hyperlink>
      <w:r w:rsidRPr="000C62D7">
        <w:rPr>
          <w:rFonts w:ascii="Calibri" w:eastAsia="Times New Roman" w:hAnsi="Calibri" w:cs="Calibri"/>
          <w:sz w:val="22"/>
        </w:rPr>
        <w:t xml:space="preserve"> and </w:t>
      </w:r>
      <w:hyperlink w:anchor="Ghaisani" w:history="1">
        <w:proofErr w:type="spellStart"/>
        <w:r w:rsidRPr="000C62D7">
          <w:rPr>
            <w:rStyle w:val="Hyperlink"/>
            <w:rFonts w:ascii="Calibri" w:eastAsia="Times New Roman" w:hAnsi="Calibri" w:cs="Calibri"/>
            <w:sz w:val="22"/>
            <w:u w:val="none"/>
          </w:rPr>
          <w:t>Ghaisani</w:t>
        </w:r>
        <w:proofErr w:type="spellEnd"/>
        <w:r w:rsidRPr="000C62D7">
          <w:rPr>
            <w:rStyle w:val="Hyperlink"/>
            <w:rFonts w:ascii="Calibri" w:eastAsia="Times New Roman" w:hAnsi="Calibri" w:cs="Calibri"/>
            <w:sz w:val="22"/>
            <w:u w:val="none"/>
          </w:rPr>
          <w:t xml:space="preserve"> </w:t>
        </w:r>
        <w:r w:rsidR="009B087A" w:rsidRPr="000C62D7">
          <w:rPr>
            <w:rStyle w:val="Hyperlink"/>
            <w:rFonts w:ascii="Calibri" w:eastAsia="Times New Roman" w:hAnsi="Calibri" w:cs="Calibri"/>
            <w:sz w:val="22"/>
            <w:u w:val="none"/>
          </w:rPr>
          <w:t>and</w:t>
        </w:r>
        <w:r w:rsidRPr="000C62D7">
          <w:rPr>
            <w:rStyle w:val="Hyperlink"/>
            <w:rFonts w:ascii="Calibri" w:eastAsia="Times New Roman" w:hAnsi="Calibri" w:cs="Calibri"/>
            <w:sz w:val="22"/>
            <w:u w:val="none"/>
          </w:rPr>
          <w:t xml:space="preserve"> </w:t>
        </w:r>
        <w:proofErr w:type="spellStart"/>
        <w:r w:rsidRPr="000C62D7">
          <w:rPr>
            <w:rStyle w:val="Hyperlink"/>
            <w:rFonts w:ascii="Calibri" w:eastAsia="Times New Roman" w:hAnsi="Calibri" w:cs="Calibri"/>
            <w:sz w:val="22"/>
            <w:u w:val="none"/>
          </w:rPr>
          <w:t>Supatmi</w:t>
        </w:r>
        <w:proofErr w:type="spellEnd"/>
        <w:r w:rsidRPr="000C62D7">
          <w:rPr>
            <w:rStyle w:val="Hyperlink"/>
            <w:rFonts w:ascii="Calibri" w:eastAsia="Times New Roman" w:hAnsi="Calibri" w:cs="Calibri"/>
            <w:sz w:val="22"/>
            <w:u w:val="none"/>
          </w:rPr>
          <w:t xml:space="preserve"> (2022)</w:t>
        </w:r>
      </w:hyperlink>
      <w:r w:rsidRPr="000C62D7">
        <w:rPr>
          <w:rFonts w:ascii="Calibri" w:eastAsia="Times New Roman" w:hAnsi="Calibri" w:cs="Calibri"/>
          <w:sz w:val="22"/>
        </w:rPr>
        <w:t>, who argue that board changes in SOEs typically result from strategic realignments, government-driven reforms, or leadership restructuring initiatives rather than from covert attempts to facilitate fraudulent activity. In many instances, board turnover is a measure to enhance performance and governance, particularly under high public and political scrutiny. These findings indicate that capability, as a theoretical construct, should be interpreted not solely as the power to exploit systems but also as the capacity to enforce oversight and instill ethical standards. Thus, the presumption that new leadership necessarily increases fraud risk may not apply to highly regulated public institutions.</w:t>
      </w:r>
    </w:p>
    <w:p w14:paraId="25C4B196" w14:textId="77777777" w:rsidR="0013488D" w:rsidRPr="000C62D7" w:rsidRDefault="0013488D" w:rsidP="0013488D">
      <w:pPr>
        <w:spacing w:line="240" w:lineRule="auto"/>
        <w:ind w:left="0" w:hanging="2"/>
        <w:jc w:val="both"/>
        <w:rPr>
          <w:rFonts w:ascii="Calibri" w:eastAsia="Times New Roman" w:hAnsi="Calibri" w:cs="Calibri"/>
          <w:sz w:val="22"/>
        </w:rPr>
      </w:pPr>
    </w:p>
    <w:p w14:paraId="05DD8D08" w14:textId="77777777" w:rsidR="0013488D" w:rsidRPr="000C62D7" w:rsidRDefault="0013488D" w:rsidP="0013488D">
      <w:pPr>
        <w:spacing w:line="240" w:lineRule="auto"/>
        <w:ind w:left="0" w:hanging="2"/>
        <w:jc w:val="both"/>
        <w:rPr>
          <w:rFonts w:ascii="Calibri" w:eastAsia="Times New Roman" w:hAnsi="Calibri" w:cs="Calibri"/>
          <w:b/>
          <w:bCs/>
          <w:sz w:val="22"/>
        </w:rPr>
      </w:pPr>
      <w:r w:rsidRPr="000C62D7">
        <w:rPr>
          <w:rFonts w:ascii="Calibri" w:eastAsia="Times New Roman" w:hAnsi="Calibri" w:cs="Calibri"/>
          <w:b/>
          <w:bCs/>
          <w:sz w:val="22"/>
        </w:rPr>
        <w:t>CEO Profile Picture</w:t>
      </w:r>
    </w:p>
    <w:p w14:paraId="1F780E9A" w14:textId="27A0B7D8" w:rsidR="0013488D"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Lastly, the study finds no significant relationship between the presence of a CEO's profile picture in annual reports and the occurrence of financial statement fraud, leading to the rejection of Hypothesis 5. This outcome raises questions about the effectiveness of using CEO imagery as a proxy for arrogance, as conceptualized in the Fraud Pentagon Theory. While the theoretical foundation is supporte</w:t>
      </w:r>
      <w:r w:rsidR="00D7700E" w:rsidRPr="000C62D7">
        <w:rPr>
          <w:rFonts w:ascii="Calibri" w:eastAsia="Times New Roman" w:hAnsi="Calibri" w:cs="Calibri"/>
          <w:sz w:val="22"/>
        </w:rPr>
        <w:t xml:space="preserve">d by the upper </w:t>
      </w:r>
      <w:proofErr w:type="gramStart"/>
      <w:r w:rsidR="00D7700E" w:rsidRPr="000C62D7">
        <w:rPr>
          <w:rFonts w:ascii="Calibri" w:eastAsia="Times New Roman" w:hAnsi="Calibri" w:cs="Calibri"/>
          <w:sz w:val="22"/>
        </w:rPr>
        <w:t>echelons</w:t>
      </w:r>
      <w:proofErr w:type="gramEnd"/>
      <w:r w:rsidR="00D7700E" w:rsidRPr="000C62D7">
        <w:rPr>
          <w:rFonts w:ascii="Calibri" w:eastAsia="Times New Roman" w:hAnsi="Calibri" w:cs="Calibri"/>
          <w:sz w:val="22"/>
        </w:rPr>
        <w:t xml:space="preserve"> theory </w:t>
      </w:r>
      <w:hyperlink w:anchor="Hambrick" w:history="1">
        <w:r w:rsidRPr="000C62D7">
          <w:rPr>
            <w:rStyle w:val="Hyperlink"/>
            <w:rFonts w:ascii="Calibri" w:eastAsia="Times New Roman" w:hAnsi="Calibri" w:cs="Calibri"/>
            <w:sz w:val="22"/>
            <w:u w:val="none"/>
          </w:rPr>
          <w:t xml:space="preserve">Hambrick </w:t>
        </w:r>
        <w:r w:rsidR="00D7700E" w:rsidRPr="000C62D7">
          <w:rPr>
            <w:rStyle w:val="Hyperlink"/>
            <w:rFonts w:ascii="Calibri" w:eastAsia="Times New Roman" w:hAnsi="Calibri" w:cs="Calibri"/>
            <w:sz w:val="22"/>
            <w:u w:val="none"/>
          </w:rPr>
          <w:t>and Mason (</w:t>
        </w:r>
        <w:r w:rsidRPr="000C62D7">
          <w:rPr>
            <w:rStyle w:val="Hyperlink"/>
            <w:rFonts w:ascii="Calibri" w:eastAsia="Times New Roman" w:hAnsi="Calibri" w:cs="Calibri"/>
            <w:sz w:val="22"/>
            <w:u w:val="none"/>
          </w:rPr>
          <w:t>1984)</w:t>
        </w:r>
      </w:hyperlink>
      <w:r w:rsidRPr="000C62D7">
        <w:rPr>
          <w:rFonts w:ascii="Calibri" w:eastAsia="Times New Roman" w:hAnsi="Calibri" w:cs="Calibri"/>
          <w:sz w:val="22"/>
        </w:rPr>
        <w:t>—which posits that executive characteristics shape organizational outcomes—the empirical operationalization of arrogance through visual representation remains problematic.</w:t>
      </w:r>
    </w:p>
    <w:p w14:paraId="59D2BC3C" w14:textId="77777777" w:rsidR="0013488D" w:rsidRPr="000C62D7" w:rsidRDefault="0013488D" w:rsidP="0013488D">
      <w:pPr>
        <w:spacing w:line="240" w:lineRule="auto"/>
        <w:ind w:left="0" w:hanging="2"/>
        <w:jc w:val="both"/>
        <w:rPr>
          <w:rFonts w:ascii="Calibri" w:eastAsia="Times New Roman" w:hAnsi="Calibri" w:cs="Calibri"/>
          <w:sz w:val="22"/>
        </w:rPr>
      </w:pPr>
    </w:p>
    <w:p w14:paraId="4974B3EB" w14:textId="0C748C92" w:rsidR="007B2FF9" w:rsidRPr="000C62D7" w:rsidRDefault="0013488D" w:rsidP="0013488D">
      <w:pPr>
        <w:spacing w:line="240" w:lineRule="auto"/>
        <w:ind w:left="0" w:hanging="2"/>
        <w:jc w:val="both"/>
        <w:rPr>
          <w:rFonts w:ascii="Calibri" w:eastAsia="Times New Roman" w:hAnsi="Calibri" w:cs="Calibri"/>
          <w:sz w:val="22"/>
        </w:rPr>
      </w:pPr>
      <w:r w:rsidRPr="000C62D7">
        <w:rPr>
          <w:rFonts w:ascii="Calibri" w:eastAsia="Times New Roman" w:hAnsi="Calibri" w:cs="Calibri"/>
          <w:sz w:val="22"/>
        </w:rPr>
        <w:t xml:space="preserve">As noted by </w:t>
      </w:r>
      <w:hyperlink w:anchor="Farida" w:history="1">
        <w:r w:rsidRPr="000C62D7">
          <w:rPr>
            <w:rStyle w:val="Hyperlink"/>
            <w:rFonts w:ascii="Calibri" w:eastAsia="Times New Roman" w:hAnsi="Calibri" w:cs="Calibri"/>
            <w:sz w:val="22"/>
            <w:u w:val="none"/>
          </w:rPr>
          <w:t>Farida et al. (2022)</w:t>
        </w:r>
      </w:hyperlink>
      <w:r w:rsidRPr="000C62D7">
        <w:rPr>
          <w:rFonts w:ascii="Calibri" w:eastAsia="Times New Roman" w:hAnsi="Calibri" w:cs="Calibri"/>
          <w:sz w:val="22"/>
        </w:rPr>
        <w:t xml:space="preserve"> and </w:t>
      </w:r>
      <w:hyperlink w:anchor="Irmawati" w:history="1">
        <w:proofErr w:type="spellStart"/>
        <w:r w:rsidRPr="000C62D7">
          <w:rPr>
            <w:rStyle w:val="Hyperlink"/>
            <w:rFonts w:ascii="Calibri" w:eastAsia="Times New Roman" w:hAnsi="Calibri" w:cs="Calibri"/>
            <w:sz w:val="22"/>
            <w:u w:val="none"/>
          </w:rPr>
          <w:t>Irmawati</w:t>
        </w:r>
        <w:proofErr w:type="spellEnd"/>
        <w:r w:rsidRPr="000C62D7">
          <w:rPr>
            <w:rStyle w:val="Hyperlink"/>
            <w:rFonts w:ascii="Calibri" w:eastAsia="Times New Roman" w:hAnsi="Calibri" w:cs="Calibri"/>
            <w:sz w:val="22"/>
            <w:u w:val="none"/>
          </w:rPr>
          <w:t xml:space="preserve"> (2022)</w:t>
        </w:r>
      </w:hyperlink>
      <w:r w:rsidRPr="000C62D7">
        <w:rPr>
          <w:rFonts w:ascii="Calibri" w:eastAsia="Times New Roman" w:hAnsi="Calibri" w:cs="Calibri"/>
          <w:sz w:val="22"/>
        </w:rPr>
        <w:t>, the appearance of CEO photos in corporate reports may reflect corporate branding practices, industry norms, or investor communication strategies rather than individual personality traits. In the case of Indonesian SOEs, conservative reporting standards often limit the extent to which CEOs are visually featured, regardless of their disposition. Therefore, relying solely on CEO photographs to indicate narcissism or arrogance risks measurement error and undermines construct validity. Alternative proxies—such as excessive executive compensation, dominant speech patterns in public disclosures, or decision-making centrality—may offer more accurate reflections of executive hubris and its potential connection to fraud.</w:t>
      </w:r>
    </w:p>
    <w:p w14:paraId="7BCB51B8" w14:textId="77777777" w:rsidR="007B2FF9" w:rsidRPr="000C62D7" w:rsidRDefault="007B2FF9" w:rsidP="004D083A">
      <w:pPr>
        <w:pStyle w:val="BalloonText"/>
        <w:ind w:left="0" w:hanging="2"/>
        <w:rPr>
          <w:lang w:val="id-ID" w:eastAsia="id-ID"/>
        </w:rPr>
      </w:pPr>
    </w:p>
    <w:p w14:paraId="0A2890AC" w14:textId="3AA521F5" w:rsidR="004E4EB8" w:rsidRPr="000C62D7" w:rsidRDefault="00F176E1" w:rsidP="000E5A3F">
      <w:pPr>
        <w:widowControl w:val="0"/>
        <w:spacing w:line="240" w:lineRule="auto"/>
        <w:ind w:left="1" w:hanging="3"/>
        <w:rPr>
          <w:rFonts w:ascii="Garamond" w:eastAsia="Times New Roman" w:hAnsi="Garamond" w:cs="Times New Roman"/>
          <w:b/>
          <w:sz w:val="28"/>
          <w:szCs w:val="28"/>
          <w:shd w:val="clear" w:color="auto" w:fill="F8F9FA"/>
        </w:rPr>
      </w:pPr>
      <w:r w:rsidRPr="000C62D7">
        <w:rPr>
          <w:rFonts w:ascii="Garamond" w:eastAsia="Times New Roman" w:hAnsi="Garamond" w:cs="Times New Roman"/>
          <w:b/>
          <w:sz w:val="28"/>
          <w:szCs w:val="28"/>
          <w:shd w:val="clear" w:color="auto" w:fill="F8F9FA"/>
        </w:rPr>
        <w:t>Conclusions and Recommendations</w:t>
      </w:r>
    </w:p>
    <w:p w14:paraId="18BE9E68" w14:textId="749DA0FA" w:rsidR="00964199" w:rsidRPr="000C62D7" w:rsidRDefault="00964199" w:rsidP="004D083A">
      <w:pPr>
        <w:pStyle w:val="BalloonText"/>
        <w:ind w:left="0" w:hanging="2"/>
        <w:rPr>
          <w:shd w:val="clear" w:color="auto" w:fill="F8F9FA"/>
        </w:rPr>
      </w:pPr>
    </w:p>
    <w:p w14:paraId="71E3BF2E" w14:textId="77777777" w:rsidR="0013488D" w:rsidRPr="000C62D7" w:rsidRDefault="0013488D" w:rsidP="0013488D">
      <w:pPr>
        <w:ind w:left="0" w:hanging="2"/>
        <w:jc w:val="both"/>
        <w:rPr>
          <w:rFonts w:ascii="Calibri" w:hAnsi="Calibri" w:cs="Calibri"/>
          <w:sz w:val="22"/>
        </w:rPr>
      </w:pPr>
      <w:r w:rsidRPr="000C62D7">
        <w:rPr>
          <w:rFonts w:ascii="Calibri" w:hAnsi="Calibri" w:cs="Calibri"/>
          <w:sz w:val="22"/>
        </w:rPr>
        <w:t>This study investigates the determinants of financial statement fraud by applying the Fraud Pentagon Theory, which integrates five dimensions of fraudulent behavior: pressure, opportunity, rationalization, capability, and arrogance. The empirical analysis draws on panel data from Indonesian state-owned enterprises (SOEs) listed on the Indonesia Stock Exchange (IDX) over 2019–2023. The findings reveal that financial stability significantly affects the likelihood of financial statement fraud, reinforcing the theoretical assertion that financial pressure is a key driver of earnings manipulation. Conversely, other variables—including the proportion of independent commissioners, auditor turnover, board of director turnover, and the presence of a CEO profile picture—are not significantly associated with fraudulent financial reporting. These results suggest that formal governance structures and surface-level indicators may be inadequate for detecting or mitigating fraud within SOEs.</w:t>
      </w:r>
    </w:p>
    <w:p w14:paraId="70EE90CA" w14:textId="7D9C57DD" w:rsidR="0013488D" w:rsidRPr="000C62D7" w:rsidRDefault="0013488D" w:rsidP="0013488D">
      <w:pPr>
        <w:ind w:left="0" w:hanging="2"/>
        <w:jc w:val="both"/>
        <w:rPr>
          <w:rFonts w:ascii="Calibri" w:hAnsi="Calibri" w:cs="Calibri"/>
          <w:sz w:val="22"/>
        </w:rPr>
      </w:pPr>
      <w:r w:rsidRPr="000C62D7">
        <w:rPr>
          <w:rFonts w:ascii="Calibri" w:hAnsi="Calibri" w:cs="Calibri"/>
          <w:sz w:val="22"/>
        </w:rPr>
        <w:lastRenderedPageBreak/>
        <w:t>The study contributes to the literature by offering novel empirical evidence on the limited predictive value of several commonly used governance proxies in the context of publicly owned enterprises. Theoretically, the findings challenge the prevailing assumption that mechanisms such as board independence and routine auditor rotation are inherently effective in reducing fraud risk. In practical terms, the results imply that regulatory bodies, audit committees, and policy-makers in SOEs should focus their oversight efforts on monitoring financial stressors and strengthening internal control systems rather than over-relying on formalistic compliance with governance codes. Enhanced transparency, timely access to decision-relevant information, and cultivating an ethical corporate culture may offer more effective, sustainable fraud prevention and detection strategies.</w:t>
      </w:r>
    </w:p>
    <w:p w14:paraId="0E31BFBF" w14:textId="77777777" w:rsidR="0013488D" w:rsidRPr="000C62D7" w:rsidRDefault="0013488D" w:rsidP="0013488D">
      <w:pPr>
        <w:ind w:left="0" w:hanging="2"/>
        <w:jc w:val="both"/>
        <w:rPr>
          <w:rFonts w:ascii="Calibri" w:hAnsi="Calibri" w:cs="Calibri"/>
          <w:sz w:val="22"/>
        </w:rPr>
      </w:pPr>
    </w:p>
    <w:p w14:paraId="332131DD" w14:textId="492A3854" w:rsidR="00C6102E" w:rsidRPr="000C62D7" w:rsidRDefault="0013488D" w:rsidP="0013488D">
      <w:pPr>
        <w:ind w:left="0" w:hanging="2"/>
        <w:jc w:val="both"/>
        <w:rPr>
          <w:rFonts w:ascii="Calibri" w:hAnsi="Calibri" w:cs="Calibri"/>
          <w:sz w:val="22"/>
        </w:rPr>
      </w:pPr>
      <w:r w:rsidRPr="000C62D7">
        <w:rPr>
          <w:rFonts w:ascii="Calibri" w:hAnsi="Calibri" w:cs="Calibri"/>
          <w:sz w:val="22"/>
        </w:rPr>
        <w:t>Despite its contributions, this study is not without limitations. The sample is restricted to SOEs listed on the IDX, excluding a broader population of non-listed SOEs that may exhibit different governance dynamics and fraud vulnerabilities. In addition, the model explains only 43% of the variation in financial statement fraud, indicating that other relevant explanatory variables remain unaccounted for. Using the CEO profile picture as a proxy for arrogance also presents construct validity concerns, as it may not adequately reflect underlying psychological traits. Future research should incorporate alternative fraud predictors such as ethical climate, executive compensation structures, or tone at the top and expand the analysis to include other sectors—such as financial institutions—and non-listed public entities. Employing alternative theoretical models and more sophisticated measurement approaches may also enhance the predictive power of fraud detection frameworks.</w:t>
      </w:r>
    </w:p>
    <w:p w14:paraId="407DBE16" w14:textId="77777777" w:rsidR="0078353B" w:rsidRDefault="0078353B" w:rsidP="004D083A">
      <w:pPr>
        <w:pStyle w:val="BalloonText"/>
        <w:ind w:left="0" w:hanging="2"/>
      </w:pPr>
    </w:p>
    <w:p w14:paraId="435E8C1F" w14:textId="32F21641" w:rsidR="004E4EB8" w:rsidRPr="00AB7526" w:rsidRDefault="00AB7526" w:rsidP="000E5A3F">
      <w:pPr>
        <w:widowControl w:val="0"/>
        <w:autoSpaceDE w:val="0"/>
        <w:autoSpaceDN w:val="0"/>
        <w:adjustRightInd w:val="0"/>
        <w:spacing w:line="240" w:lineRule="auto"/>
        <w:ind w:left="1" w:hanging="3"/>
        <w:rPr>
          <w:rFonts w:ascii="Garamond" w:hAnsi="Garamond" w:cs="Times New Roman"/>
          <w:b/>
          <w:bCs/>
          <w:sz w:val="28"/>
          <w:szCs w:val="28"/>
        </w:rPr>
      </w:pPr>
      <w:r w:rsidRPr="00AB7526">
        <w:rPr>
          <w:rFonts w:ascii="Garamond" w:hAnsi="Garamond" w:cs="Times New Roman"/>
          <w:b/>
          <w:bCs/>
          <w:sz w:val="28"/>
          <w:szCs w:val="28"/>
        </w:rPr>
        <w:t>Reference</w:t>
      </w:r>
      <w:r>
        <w:rPr>
          <w:rFonts w:ascii="Garamond" w:hAnsi="Garamond" w:cs="Times New Roman"/>
          <w:b/>
          <w:bCs/>
          <w:sz w:val="28"/>
          <w:szCs w:val="28"/>
        </w:rPr>
        <w:t>s</w:t>
      </w:r>
    </w:p>
    <w:p w14:paraId="65D1515F" w14:textId="296AF4F8" w:rsidR="00AB1E92" w:rsidRDefault="00AB1E92" w:rsidP="00F1289F">
      <w:pPr>
        <w:pStyle w:val="EndNoteBibliography"/>
        <w:spacing w:after="0"/>
        <w:ind w:left="567" w:hanging="567"/>
        <w:rPr>
          <w:rFonts w:ascii="Garamond" w:hAnsi="Garamond" w:cs="Calibri"/>
          <w:sz w:val="22"/>
          <w:szCs w:val="22"/>
        </w:rPr>
      </w:pPr>
    </w:p>
    <w:p w14:paraId="6CF1ECAE"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 w:name="ACFE2022"/>
      <w:r w:rsidRPr="00ED6A44">
        <w:rPr>
          <w:rFonts w:ascii="Garamond" w:eastAsia="Calibri" w:hAnsi="Garamond" w:cs="Times New Roman"/>
          <w:noProof/>
          <w:position w:val="0"/>
          <w:sz w:val="22"/>
          <w:szCs w:val="24"/>
        </w:rPr>
        <w:t>Association of Certified  Fraud Examiner Indonesia. (2022). Association of Certified Fraud Examiner Indonesia.</w:t>
      </w:r>
    </w:p>
    <w:p w14:paraId="1811B484"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 w:name="ACFE2019"/>
      <w:bookmarkEnd w:id="1"/>
      <w:r w:rsidRPr="00ED6A44">
        <w:rPr>
          <w:rFonts w:ascii="Garamond" w:eastAsia="Calibri" w:hAnsi="Garamond" w:cs="Times New Roman"/>
          <w:noProof/>
          <w:position w:val="0"/>
          <w:sz w:val="22"/>
          <w:szCs w:val="24"/>
        </w:rPr>
        <w:t>Association of Certified Fraud Examiners Indonesia. (2019). Survei Fraud Indonesia 2019. Indonesia Chapter #111, 53(9), 1–76. https://acfe-indonesia.or.id/survei-fraud-indonesia/</w:t>
      </w:r>
    </w:p>
    <w:p w14:paraId="7A46F59B"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3" w:name="Aulia"/>
      <w:bookmarkEnd w:id="2"/>
      <w:r w:rsidRPr="00ED6A44">
        <w:rPr>
          <w:rFonts w:ascii="Garamond" w:eastAsia="Calibri" w:hAnsi="Garamond" w:cs="Times New Roman"/>
          <w:noProof/>
          <w:position w:val="0"/>
          <w:sz w:val="22"/>
          <w:szCs w:val="24"/>
        </w:rPr>
        <w:t>Aulia, A. P. N., &amp; Budiwitjaksono, G. S. (2020). Analisa teori fraud pentagon sebagai pendeteksi kecurangan pada laporan keuangan. Journal of Economics, Business, &amp; Accountancy Ventura, 22(3). https://doi.org/10.14414/jebav.v22i3.1788</w:t>
      </w:r>
    </w:p>
    <w:p w14:paraId="0F492A5B"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4" w:name="BudiYanti"/>
      <w:bookmarkEnd w:id="3"/>
      <w:r w:rsidRPr="00ED6A44">
        <w:rPr>
          <w:rFonts w:ascii="Garamond" w:eastAsia="Calibri" w:hAnsi="Garamond" w:cs="Times New Roman"/>
          <w:noProof/>
          <w:position w:val="0"/>
          <w:sz w:val="22"/>
          <w:szCs w:val="24"/>
        </w:rPr>
        <w:t>Budi Yanti, H., Mayangsari, S., Wiyono, S., Noor, I. N., Siregar, M., &amp; Desiani, I. (2023). Prediction Of Financial Reporting Fraud With Crowe’s Fraud Pentagon Model. Media Riset Akuntansi, Auditing &amp; Informasi, 23(1), 183–202. https://doi.org/10.25105/mraai.v23i1.17293</w:t>
      </w:r>
    </w:p>
    <w:p w14:paraId="04EAA008"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5" w:name="Cressey"/>
      <w:bookmarkEnd w:id="4"/>
      <w:r w:rsidRPr="00ED6A44">
        <w:rPr>
          <w:rFonts w:ascii="Garamond" w:eastAsia="Calibri" w:hAnsi="Garamond" w:cs="Times New Roman"/>
          <w:noProof/>
          <w:position w:val="0"/>
          <w:sz w:val="22"/>
          <w:szCs w:val="24"/>
        </w:rPr>
        <w:t>Cressey, D. (1953). Other people’s money, dalam: “The Internal Auditor as Fraud buster, Hillison, William. et. al.1999 . Managerial Auditing Journal, MCB University Press.</w:t>
      </w:r>
    </w:p>
    <w:p w14:paraId="380A0482"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6" w:name="Crowe"/>
      <w:bookmarkEnd w:id="5"/>
      <w:r w:rsidRPr="00ED6A44">
        <w:rPr>
          <w:rFonts w:ascii="Garamond" w:eastAsia="Calibri" w:hAnsi="Garamond" w:cs="Times New Roman"/>
          <w:noProof/>
          <w:position w:val="0"/>
          <w:sz w:val="22"/>
          <w:szCs w:val="24"/>
        </w:rPr>
        <w:t>Crowe Horwarth. (2012). The Mind Behind The Fraudsters Crime. Key Behavioral and Environmental Element.</w:t>
      </w:r>
    </w:p>
    <w:p w14:paraId="735BD281"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7" w:name="Dechow"/>
      <w:bookmarkEnd w:id="6"/>
      <w:r w:rsidRPr="00ED6A44">
        <w:rPr>
          <w:rFonts w:ascii="Garamond" w:eastAsia="Calibri" w:hAnsi="Garamond" w:cs="Times New Roman"/>
          <w:noProof/>
          <w:position w:val="0"/>
          <w:sz w:val="22"/>
          <w:szCs w:val="24"/>
        </w:rPr>
        <w:t>Dechow, P. M., Ge, W., Larson, C. R., &amp; Sloan, R. G. (2011). Predicting Material Accounting Misstatements. Contemporary Accounting Research, 28(1), 17–82. https://doi.org/10.1111/j.1911-3846.2010.01041.x</w:t>
      </w:r>
    </w:p>
    <w:p w14:paraId="24A7928E"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8" w:name="Maryadi"/>
      <w:bookmarkEnd w:id="7"/>
      <w:r w:rsidRPr="00ED6A44">
        <w:rPr>
          <w:rFonts w:ascii="Garamond" w:eastAsia="Calibri" w:hAnsi="Garamond" w:cs="Times New Roman"/>
          <w:noProof/>
          <w:position w:val="0"/>
          <w:sz w:val="22"/>
          <w:szCs w:val="24"/>
        </w:rPr>
        <w:t>Dwi Maryadi, A., Puspa Midiastuty, P., Suranta, E., &amp; Robiansyah, A. (2020). Pengaruh fraud pentagon dalam mendeteksi fraudulent financial reporting. Jurnal Akuntansi, Keuangan, Dan Manajemen, 2(1), 13–25. https://doi.org/10.35912/jakman.v2i1.104</w:t>
      </w:r>
    </w:p>
    <w:p w14:paraId="4BAE1672"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9" w:name="Farida"/>
      <w:bookmarkEnd w:id="8"/>
      <w:r w:rsidRPr="00ED6A44">
        <w:rPr>
          <w:rFonts w:ascii="Garamond" w:eastAsia="Calibri" w:hAnsi="Garamond" w:cs="Times New Roman"/>
          <w:noProof/>
          <w:position w:val="0"/>
          <w:sz w:val="22"/>
          <w:szCs w:val="24"/>
        </w:rPr>
        <w:t>Farida, A. L., Wahyuni, D., &amp; Fariska, P. (2022). Determinant of the Fraud Pentagon Theory for Fraudulence Financial Reporting.</w:t>
      </w:r>
    </w:p>
    <w:p w14:paraId="709FEA7A"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0" w:name="Gansui"/>
      <w:bookmarkEnd w:id="9"/>
      <w:r w:rsidRPr="00ED6A44">
        <w:rPr>
          <w:rFonts w:ascii="Garamond" w:eastAsia="Calibri" w:hAnsi="Garamond" w:cs="Times New Roman"/>
          <w:noProof/>
          <w:position w:val="0"/>
          <w:sz w:val="22"/>
          <w:szCs w:val="24"/>
        </w:rPr>
        <w:t>Gansui, Joseph Philip Kambey, &amp; Nikolas Fajar Wuryaningrat. (2023). Analisis Fraud Pentagon Dalam Mendeteksi Kecurangan Pelaporan Keuangan Pada Perusahaan Manufaktur. Jurnal Ekonomi, Kependidikan, Manajemen, Dan Akuntansi, 1, No. 2, 9–17.</w:t>
      </w:r>
    </w:p>
    <w:p w14:paraId="41F34D12"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1" w:name="Ghaisani"/>
      <w:bookmarkEnd w:id="10"/>
      <w:r w:rsidRPr="00ED6A44">
        <w:rPr>
          <w:rFonts w:ascii="Garamond" w:eastAsia="Calibri" w:hAnsi="Garamond" w:cs="Times New Roman"/>
          <w:noProof/>
          <w:position w:val="0"/>
          <w:sz w:val="22"/>
          <w:szCs w:val="24"/>
        </w:rPr>
        <w:t>Ghaisani, A. A., &amp; Supatmi, S. (2022). Pendeteksian Kecurangan Pelaporan Keuangan menggunakan Model Fraud Diamond. Portofolio: Jurnal Ekonomi, Bisnis, Manajemen, Dan Akuntansi, 17(2), 90–109. https://doi.org/10.54783/portofolio.v17i2.205</w:t>
      </w:r>
    </w:p>
    <w:p w14:paraId="2DE08408"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2" w:name="Hambrick"/>
      <w:bookmarkEnd w:id="11"/>
      <w:r w:rsidRPr="00ED6A44">
        <w:rPr>
          <w:rFonts w:ascii="Garamond" w:eastAsia="Calibri" w:hAnsi="Garamond" w:cs="Times New Roman"/>
          <w:noProof/>
          <w:position w:val="0"/>
          <w:sz w:val="22"/>
          <w:szCs w:val="24"/>
        </w:rPr>
        <w:t>Hambrick, &amp; Mason, (1984). (1984). Upper echelons: The organization as a reflection of its top managers. The Academy of Management Review, 9(2), 193–206. https://doi.org/10.2307/258434</w:t>
      </w:r>
    </w:p>
    <w:p w14:paraId="1935EE3E"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3" w:name="Harman"/>
      <w:bookmarkEnd w:id="12"/>
      <w:r w:rsidRPr="00ED6A44">
        <w:rPr>
          <w:rFonts w:ascii="Garamond" w:eastAsia="Calibri" w:hAnsi="Garamond" w:cs="Times New Roman"/>
          <w:noProof/>
          <w:position w:val="0"/>
          <w:sz w:val="22"/>
          <w:szCs w:val="24"/>
        </w:rPr>
        <w:t>Harman, S. A., &amp; Bernawati, Y. (2020). Determinant of Financial Statement Fraud: Fraud Pentagon Perspective in Manufacturing Companies Sendi. Elementary Education Online, 2020; 19 (4): Pp. 628-638, 19(4), 628–638. https://doi.org/10.17051/ilkonline.2020.04.166</w:t>
      </w:r>
    </w:p>
    <w:p w14:paraId="45017101"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4" w:name="Hastuti"/>
      <w:bookmarkEnd w:id="13"/>
      <w:r w:rsidRPr="00ED6A44">
        <w:rPr>
          <w:rFonts w:ascii="Garamond" w:eastAsia="Calibri" w:hAnsi="Garamond" w:cs="Times New Roman"/>
          <w:noProof/>
          <w:position w:val="0"/>
          <w:sz w:val="22"/>
          <w:szCs w:val="24"/>
        </w:rPr>
        <w:lastRenderedPageBreak/>
        <w:t>Hastuti, P. M. D., Rahayu, S., &amp; Pratiwi, E. C. (2023). Fraud Pentagon Theory Terhadap Kecurangan Laporan Keuangan di Sektor Perusahaan Manufaktur. Jurnal Ekobistek, 12(2), 614–621. https://doi.org/10.35134/ekobistek.v12i2.602</w:t>
      </w:r>
    </w:p>
    <w:p w14:paraId="6358FAD8"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5" w:name="Hidayah"/>
      <w:bookmarkEnd w:id="14"/>
      <w:r w:rsidRPr="00ED6A44">
        <w:rPr>
          <w:rFonts w:ascii="Garamond" w:eastAsia="Calibri" w:hAnsi="Garamond" w:cs="Times New Roman"/>
          <w:noProof/>
          <w:position w:val="0"/>
          <w:sz w:val="22"/>
          <w:szCs w:val="24"/>
        </w:rPr>
        <w:t>Hidayah, E., Saptarini, G., &amp; Devi. (2019). Pentagon Fraud Analysis in Detecting Potential Financial Statement Fraud of Banking Companies in Indonesia.</w:t>
      </w:r>
    </w:p>
    <w:p w14:paraId="679C153F"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6" w:name="Irmawati"/>
      <w:bookmarkEnd w:id="15"/>
      <w:r w:rsidRPr="00ED6A44">
        <w:rPr>
          <w:rFonts w:ascii="Garamond" w:eastAsia="Calibri" w:hAnsi="Garamond" w:cs="Times New Roman"/>
          <w:noProof/>
          <w:position w:val="0"/>
          <w:sz w:val="22"/>
          <w:szCs w:val="24"/>
        </w:rPr>
        <w:t>Irmawati, F. (2022). Testing The Fraud Pentagon Theory On Fraudulent Financial Reporting In The Banking Sector Indonesia 2016-2020. 18, 235–247. http://dx.doi.org/10.24217</w:t>
      </w:r>
    </w:p>
    <w:p w14:paraId="69E7F77D"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7" w:name="Jensen"/>
      <w:bookmarkEnd w:id="16"/>
      <w:r w:rsidRPr="00ED6A44">
        <w:rPr>
          <w:rFonts w:ascii="Garamond" w:eastAsia="Calibri" w:hAnsi="Garamond" w:cs="Times New Roman"/>
          <w:noProof/>
          <w:position w:val="0"/>
          <w:sz w:val="22"/>
          <w:szCs w:val="24"/>
        </w:rPr>
        <w:t>Jensen., &amp; Meckling. (1976). Jensen and Meckling. The Corporate Financiers, 3, 305–360. https://doi.org/10.1057/9781137341280.0038</w:t>
      </w:r>
    </w:p>
    <w:p w14:paraId="030E5BF1"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8" w:name="Koharudin"/>
      <w:bookmarkEnd w:id="17"/>
      <w:r w:rsidRPr="00ED6A44">
        <w:rPr>
          <w:rFonts w:ascii="Garamond" w:eastAsia="Calibri" w:hAnsi="Garamond" w:cs="Times New Roman"/>
          <w:noProof/>
          <w:position w:val="0"/>
          <w:sz w:val="22"/>
          <w:szCs w:val="24"/>
        </w:rPr>
        <w:t>Koharudin, A., &amp; Januarti, I. (2021). Lack of Financial Reporting Using Crowe’s Fraud Pentagon Theory. Jurnal Dinamika Akuntansi, 13(2), 148–157. https://doi.org/10.15294/jda.v13i2.28602</w:t>
      </w:r>
    </w:p>
    <w:p w14:paraId="58E9E4BF"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19" w:name="Kurniawan"/>
      <w:bookmarkEnd w:id="18"/>
      <w:r w:rsidRPr="00ED6A44">
        <w:rPr>
          <w:rFonts w:ascii="Garamond" w:eastAsia="Calibri" w:hAnsi="Garamond" w:cs="Times New Roman"/>
          <w:noProof/>
          <w:position w:val="0"/>
          <w:sz w:val="22"/>
          <w:szCs w:val="24"/>
        </w:rPr>
        <w:t>Kurniawan, Hutadjulu, Y. L., &amp; Simanjuntak, Ma. (2020). Pengaruh manajemen laba dan corporate governance terhadap kecurangan laporan keuangan. In Jurnal Akuntansi &amp; Keuangan Daerah (Vol. 15, Issue 1).</w:t>
      </w:r>
    </w:p>
    <w:p w14:paraId="1FF95612"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0" w:name="Permatasari"/>
      <w:bookmarkEnd w:id="19"/>
      <w:r w:rsidRPr="00ED6A44">
        <w:rPr>
          <w:rFonts w:ascii="Garamond" w:eastAsia="Calibri" w:hAnsi="Garamond" w:cs="Times New Roman"/>
          <w:noProof/>
          <w:position w:val="0"/>
          <w:sz w:val="22"/>
          <w:szCs w:val="24"/>
        </w:rPr>
        <w:t>Permatasari, D., &amp; Laila, U. (2021). Deteksi Kecurangan Laporan Keuangan Dengan Analisis Fraud Diamond Di Perusahaan Manufaktur. Akuntabilitas, 15(2), 241–262. https://doi.org/10.29259/ja.v15i2.13025</w:t>
      </w:r>
    </w:p>
    <w:p w14:paraId="3B67C37C"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1" w:name="Rachman"/>
      <w:bookmarkEnd w:id="20"/>
      <w:r w:rsidRPr="00ED6A44">
        <w:rPr>
          <w:rFonts w:ascii="Garamond" w:eastAsia="Calibri" w:hAnsi="Garamond" w:cs="Times New Roman"/>
          <w:noProof/>
          <w:position w:val="0"/>
          <w:sz w:val="22"/>
          <w:szCs w:val="24"/>
        </w:rPr>
        <w:t>Rachman, M. N., Suhendro, S., &amp; Azhar, R. (2023). Analysis of factors affecting fraudulent financial reporting in fraud pentagon perspective. Asian Journal of Economics and Business Management, 2(1), 342–352. https://doi.org/10.53402/ajebm.v2i1.262</w:t>
      </w:r>
    </w:p>
    <w:p w14:paraId="16C348D0"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2" w:name="Randa"/>
      <w:bookmarkEnd w:id="21"/>
      <w:r w:rsidRPr="00ED6A44">
        <w:rPr>
          <w:rFonts w:ascii="Garamond" w:eastAsia="Calibri" w:hAnsi="Garamond" w:cs="Times New Roman"/>
          <w:noProof/>
          <w:position w:val="0"/>
          <w:sz w:val="22"/>
          <w:szCs w:val="24"/>
        </w:rPr>
        <w:t>Randa, &amp; Dwita. (2024). Pengaruh Elemen Fraud Pentagon Terhadap Deteksi Kecurangan Laporan Keuangan. JAD</w:t>
      </w:r>
      <w:r w:rsidRPr="00ED6A44">
        <w:rPr>
          <w:rFonts w:ascii="Times New Roman" w:eastAsia="Calibri" w:hAnsi="Times New Roman" w:cs="Times New Roman"/>
          <w:noProof/>
          <w:position w:val="0"/>
          <w:sz w:val="22"/>
          <w:szCs w:val="24"/>
        </w:rPr>
        <w:t> </w:t>
      </w:r>
      <w:r w:rsidRPr="00ED6A44">
        <w:rPr>
          <w:rFonts w:ascii="Garamond" w:eastAsia="Calibri" w:hAnsi="Garamond" w:cs="Times New Roman"/>
          <w:noProof/>
          <w:position w:val="0"/>
          <w:sz w:val="22"/>
          <w:szCs w:val="24"/>
        </w:rPr>
        <w:t>: Jurnal Riset Akuntansi &amp; Keuangan Dewantara, 6(2), 61–71. https://doi.org/10.26533/jad.v6i2.1189</w:t>
      </w:r>
    </w:p>
    <w:p w14:paraId="5CCD0217"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3" w:name="Rukmana"/>
      <w:bookmarkEnd w:id="22"/>
      <w:r w:rsidRPr="00ED6A44">
        <w:rPr>
          <w:rFonts w:ascii="Garamond" w:eastAsia="Calibri" w:hAnsi="Garamond" w:cs="Times New Roman"/>
          <w:noProof/>
          <w:position w:val="0"/>
          <w:sz w:val="22"/>
          <w:szCs w:val="24"/>
        </w:rPr>
        <w:t>Rukmana, H. S. (2021). Determinants of Pentagon Fraud in Detecting Financial Statement Fraud and Company Value A R T I C LE I N F O A B S TR AC T. In Majalah Ilmiah Bijak (Vol. 18, Issue 1). http://ojs.stiami.ac.id</w:t>
      </w:r>
    </w:p>
    <w:p w14:paraId="3FD624D7"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4" w:name="Saadah"/>
      <w:bookmarkEnd w:id="23"/>
      <w:r w:rsidRPr="00ED6A44">
        <w:rPr>
          <w:rFonts w:ascii="Garamond" w:eastAsia="Calibri" w:hAnsi="Garamond" w:cs="Times New Roman"/>
          <w:noProof/>
          <w:position w:val="0"/>
          <w:sz w:val="22"/>
          <w:szCs w:val="24"/>
        </w:rPr>
        <w:t>Sa’adah, Gita, V., Wahyu, K., Hariadi, S., &amp; Kadir, U. A. (2022). Pengaruh stabilitas keuangan, kondisi industri, dan tekanan eksternal terhadap Kecurangan laporan keuangan dalam fraud triangle. Jurnal Analisa Akuntansi Dan Perpajakan, 6, 210–219.</w:t>
      </w:r>
    </w:p>
    <w:p w14:paraId="155028F2"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5" w:name="Salsabilla"/>
      <w:bookmarkEnd w:id="24"/>
      <w:r w:rsidRPr="00ED6A44">
        <w:rPr>
          <w:rFonts w:ascii="Garamond" w:eastAsia="Calibri" w:hAnsi="Garamond" w:cs="Times New Roman"/>
          <w:noProof/>
          <w:position w:val="0"/>
          <w:sz w:val="22"/>
          <w:szCs w:val="24"/>
        </w:rPr>
        <w:t>Salsabilla, A. A., &amp; Fitri, A. (2023). Fraud Pentagon dan Kecurangan Laporan Keuangan: Potret pada Perusahaan Sektor Kesehatan di Indonesia. E-Jurnal Akuntansi, 33(8), 2086–2101.</w:t>
      </w:r>
    </w:p>
    <w:p w14:paraId="3F3F816A"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6" w:name="SawakaHiwa"/>
      <w:bookmarkEnd w:id="25"/>
      <w:r w:rsidRPr="00ED6A44">
        <w:rPr>
          <w:rFonts w:ascii="Garamond" w:eastAsia="Calibri" w:hAnsi="Garamond" w:cs="Times New Roman"/>
          <w:noProof/>
          <w:position w:val="0"/>
          <w:sz w:val="22"/>
          <w:szCs w:val="24"/>
        </w:rPr>
        <w:t>Sawaka, K., &amp; Hiwa, I. G. N. (2020). Fraud pentagon theory in detecting financial perception of financial reporting with good corporate governance as moderator variable. International Research Journal of Management, IT and Social Sciences. https://doi.org/10.21744/irjmis.v7n1.824</w:t>
      </w:r>
    </w:p>
    <w:p w14:paraId="02548D83"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7" w:name="Sawaka"/>
      <w:bookmarkEnd w:id="26"/>
      <w:r w:rsidRPr="00ED6A44">
        <w:rPr>
          <w:rFonts w:ascii="Garamond" w:eastAsia="Calibri" w:hAnsi="Garamond" w:cs="Times New Roman"/>
          <w:noProof/>
          <w:position w:val="0"/>
          <w:sz w:val="22"/>
          <w:szCs w:val="24"/>
        </w:rPr>
        <w:t>Sawaka K., I. G. N. H. (2020). Fraud pentagon theory in detecting financial perception of financial reporting with good corporate governance as moderator variable. International Research Journal of Management, IT and Social Sciences. https://doi.org/10.21744/irjmis.v7n1.824</w:t>
      </w:r>
    </w:p>
    <w:p w14:paraId="00C59171"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8" w:name="Situngkir"/>
      <w:bookmarkEnd w:id="27"/>
      <w:r w:rsidRPr="00ED6A44">
        <w:rPr>
          <w:rFonts w:ascii="Garamond" w:eastAsia="Calibri" w:hAnsi="Garamond" w:cs="Times New Roman"/>
          <w:noProof/>
          <w:position w:val="0"/>
          <w:sz w:val="22"/>
          <w:szCs w:val="24"/>
        </w:rPr>
        <w:t>Situngkir, N. C., &amp; Triyanto, D. N. (2020). Detecting Fraudulent Financial Reporting Using Fraud Score Model and Fraud Pentagon Theory</w:t>
      </w:r>
      <w:r w:rsidRPr="00ED6A44">
        <w:rPr>
          <w:rFonts w:ascii="Times New Roman" w:eastAsia="Calibri" w:hAnsi="Times New Roman" w:cs="Times New Roman"/>
          <w:noProof/>
          <w:position w:val="0"/>
          <w:sz w:val="22"/>
          <w:szCs w:val="24"/>
        </w:rPr>
        <w:t> </w:t>
      </w:r>
      <w:r w:rsidRPr="00ED6A44">
        <w:rPr>
          <w:rFonts w:ascii="Garamond" w:eastAsia="Calibri" w:hAnsi="Garamond" w:cs="Times New Roman"/>
          <w:noProof/>
          <w:position w:val="0"/>
          <w:sz w:val="22"/>
          <w:szCs w:val="24"/>
        </w:rPr>
        <w:t>: Empirical Study of Companies Listed in the LQ 45 Index. The Indonesian Journal of Accounting Research, 23(03). https://doi.org/10.33312/ijar.486</w:t>
      </w:r>
    </w:p>
    <w:p w14:paraId="36694E08"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29" w:name="Tanjung"/>
      <w:bookmarkEnd w:id="28"/>
      <w:r w:rsidRPr="00ED6A44">
        <w:rPr>
          <w:rFonts w:ascii="Garamond" w:eastAsia="Calibri" w:hAnsi="Garamond" w:cs="Times New Roman"/>
          <w:noProof/>
          <w:position w:val="0"/>
          <w:sz w:val="22"/>
          <w:szCs w:val="24"/>
        </w:rPr>
        <w:t>Tanjung, A. H., &amp; Fitriani, E. (2023). Fraudulent Financial Reporting and Fraud Pentagon: Case Study on Indonesia Stock Exchange. Journal of Economics and Business, 6(2). https://doi.org/10.31014/aior.1992.06.02.507</w:t>
      </w:r>
    </w:p>
    <w:p w14:paraId="00E3594D"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30" w:name="Triyani"/>
      <w:bookmarkEnd w:id="29"/>
      <w:r w:rsidRPr="00ED6A44">
        <w:rPr>
          <w:rFonts w:ascii="Garamond" w:eastAsia="Calibri" w:hAnsi="Garamond" w:cs="Times New Roman"/>
          <w:noProof/>
          <w:position w:val="0"/>
          <w:sz w:val="22"/>
          <w:szCs w:val="24"/>
        </w:rPr>
        <w:t>Triyani, O., Kamalia, &amp; Azwir. (2019). Pengaruh Good Corporate Governance terhadap Kecurangan Laporan Keuangan dengan Manajemen Laba sebagai Variabel Moderating. Jurnal Ekonomi Fakultas Ekonomi Dan Bisnis Universitas Riau Http://Je.Ejournal.Unri.Ac.Id/.</w:t>
      </w:r>
    </w:p>
    <w:p w14:paraId="2CE5A1E3"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31" w:name="Vousinas"/>
      <w:bookmarkEnd w:id="30"/>
      <w:r w:rsidRPr="00ED6A44">
        <w:rPr>
          <w:rFonts w:ascii="Garamond" w:eastAsia="Calibri" w:hAnsi="Garamond" w:cs="Times New Roman"/>
          <w:noProof/>
          <w:position w:val="0"/>
          <w:sz w:val="22"/>
          <w:szCs w:val="24"/>
        </w:rPr>
        <w:t>Vousinas, G. L. (2019). Advancing theory of fraud: the S.C.O.R.E. model. Journal of Financial Crime, 26(1), 372–381. https://doi.org/10.1108/JFC-12-2017-0128</w:t>
      </w:r>
    </w:p>
    <w:p w14:paraId="00803CD0"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32" w:name="Wibowo"/>
      <w:bookmarkEnd w:id="31"/>
      <w:r w:rsidRPr="00ED6A44">
        <w:rPr>
          <w:rFonts w:ascii="Garamond" w:eastAsia="Calibri" w:hAnsi="Garamond" w:cs="Times New Roman"/>
          <w:noProof/>
          <w:position w:val="0"/>
          <w:sz w:val="22"/>
          <w:szCs w:val="24"/>
        </w:rPr>
        <w:t>Wibowo, &amp; Putra, Y. (2023). Factors that Influence Financial Statement Fraud with Fraud Pentagon Analysis. Asia Pacific Fraud Journal, 8(1), 65. https://doi.org/10.21532/apfjournal.v8i1.271</w:t>
      </w:r>
    </w:p>
    <w:p w14:paraId="52A9B125" w14:textId="77777777" w:rsidR="00ED6A44" w:rsidRPr="00ED6A44" w:rsidRDefault="00ED6A44" w:rsidP="00ED6A44">
      <w:pPr>
        <w:ind w:leftChars="0" w:left="426" w:firstLineChars="0" w:hanging="427"/>
        <w:jc w:val="both"/>
        <w:rPr>
          <w:rFonts w:ascii="Garamond" w:eastAsia="Calibri" w:hAnsi="Garamond" w:cs="Times New Roman"/>
          <w:noProof/>
          <w:position w:val="0"/>
          <w:sz w:val="22"/>
          <w:szCs w:val="24"/>
        </w:rPr>
      </w:pPr>
      <w:bookmarkStart w:id="33" w:name="Wolfe"/>
      <w:bookmarkEnd w:id="32"/>
      <w:r w:rsidRPr="00ED6A44">
        <w:rPr>
          <w:rFonts w:ascii="Garamond" w:eastAsia="Calibri" w:hAnsi="Garamond" w:cs="Times New Roman"/>
          <w:noProof/>
          <w:position w:val="0"/>
          <w:sz w:val="22"/>
          <w:szCs w:val="24"/>
        </w:rPr>
        <w:t>Wolfe, D., &amp; Hermanson, D. R. (2004). The Fraud Diamond: Considering Four Elements of Fraud. The CPA Journal., Volume 74, No. 12.</w:t>
      </w:r>
    </w:p>
    <w:bookmarkEnd w:id="33"/>
    <w:p w14:paraId="36E681F8" w14:textId="77777777" w:rsidR="009F4D21" w:rsidRDefault="009F4D21" w:rsidP="00064A76">
      <w:pPr>
        <w:ind w:leftChars="0" w:left="0" w:firstLineChars="0" w:firstLine="0"/>
        <w:jc w:val="both"/>
        <w:rPr>
          <w:rFonts w:asciiTheme="minorHAnsi" w:hAnsiTheme="minorHAnsi" w:cstheme="minorBidi"/>
        </w:rPr>
      </w:pPr>
    </w:p>
    <w:p w14:paraId="07449AE6" w14:textId="77777777" w:rsidR="009F4D21" w:rsidRPr="000E5A3F" w:rsidRDefault="009F4D21" w:rsidP="0013488D">
      <w:pPr>
        <w:pStyle w:val="EndNoteBibliography"/>
        <w:spacing w:after="0"/>
        <w:rPr>
          <w:rFonts w:ascii="Garamond" w:hAnsi="Garamond" w:cs="Calibri"/>
          <w:sz w:val="22"/>
          <w:szCs w:val="22"/>
        </w:rPr>
      </w:pPr>
    </w:p>
    <w:sectPr w:rsidR="009F4D21" w:rsidRPr="000E5A3F" w:rsidSect="00ED6A44">
      <w:headerReference w:type="even" r:id="rId13"/>
      <w:headerReference w:type="default" r:id="rId14"/>
      <w:footerReference w:type="even" r:id="rId15"/>
      <w:footerReference w:type="default" r:id="rId16"/>
      <w:headerReference w:type="first" r:id="rId17"/>
      <w:footerReference w:type="first" r:id="rId18"/>
      <w:pgSz w:w="11907" w:h="16839"/>
      <w:pgMar w:top="1151" w:right="1151" w:bottom="1151" w:left="1151" w:header="720" w:footer="720" w:gutter="0"/>
      <w:pgNumType w:start="21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B5B1D" w14:textId="77777777" w:rsidR="00B23483" w:rsidRDefault="00B23483">
      <w:pPr>
        <w:spacing w:line="240" w:lineRule="auto"/>
        <w:ind w:left="0" w:hanging="2"/>
      </w:pPr>
      <w:r>
        <w:separator/>
      </w:r>
    </w:p>
  </w:endnote>
  <w:endnote w:type="continuationSeparator" w:id="0">
    <w:p w14:paraId="3E094EF6" w14:textId="77777777" w:rsidR="00B23483" w:rsidRDefault="00B234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no Pro">
    <w:altName w:val="Calibri"/>
    <w:panose1 w:val="020B0604020202020204"/>
    <w:charset w:val="00"/>
    <w:family w:val="auto"/>
    <w:pitch w:val="default"/>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11F5" w14:textId="77777777" w:rsidR="004D6359" w:rsidRDefault="004D635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75718"/>
      <w:docPartObj>
        <w:docPartGallery w:val="Page Numbers (Bottom of Page)"/>
        <w:docPartUnique/>
      </w:docPartObj>
    </w:sdtPr>
    <w:sdtEndPr>
      <w:rPr>
        <w:noProof/>
      </w:rPr>
    </w:sdtEndPr>
    <w:sdtContent>
      <w:p w14:paraId="14AC1F80" w14:textId="1F7916CC" w:rsidR="004D6359" w:rsidRDefault="004D6359">
        <w:pPr>
          <w:pStyle w:val="Footer"/>
          <w:ind w:left="0" w:hanging="2"/>
        </w:pPr>
        <w:r>
          <w:fldChar w:fldCharType="begin"/>
        </w:r>
        <w:r>
          <w:instrText xml:space="preserve"> PAGE   \* MERGEFORMAT </w:instrText>
        </w:r>
        <w:r>
          <w:fldChar w:fldCharType="separate"/>
        </w:r>
        <w:r w:rsidR="000C62D7">
          <w:rPr>
            <w:noProof/>
          </w:rPr>
          <w:t>220</w:t>
        </w:r>
        <w:r>
          <w:rPr>
            <w:noProof/>
          </w:rPr>
          <w:fldChar w:fldCharType="end"/>
        </w:r>
      </w:p>
    </w:sdtContent>
  </w:sdt>
  <w:p w14:paraId="4EFA6B4D" w14:textId="77777777" w:rsidR="004D6359" w:rsidRDefault="004D6359">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53AF" w14:textId="77777777" w:rsidR="004D6359" w:rsidRDefault="004D635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30D6" w14:textId="77777777" w:rsidR="00B23483" w:rsidRDefault="00B23483">
      <w:pPr>
        <w:spacing w:line="240" w:lineRule="auto"/>
        <w:ind w:left="0" w:hanging="2"/>
      </w:pPr>
      <w:r>
        <w:separator/>
      </w:r>
    </w:p>
  </w:footnote>
  <w:footnote w:type="continuationSeparator" w:id="0">
    <w:p w14:paraId="60376AA8" w14:textId="77777777" w:rsidR="00B23483" w:rsidRDefault="00B234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050D" w14:textId="77777777" w:rsidR="004D6359" w:rsidRDefault="004D635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C3D9" w14:textId="6E853BD5" w:rsidR="004D6359" w:rsidRPr="00984CD1" w:rsidRDefault="004D6359" w:rsidP="002D10FB">
    <w:pPr>
      <w:tabs>
        <w:tab w:val="left" w:pos="7740"/>
      </w:tabs>
      <w:spacing w:line="288" w:lineRule="auto"/>
      <w:ind w:left="0" w:hanging="2"/>
      <w:rPr>
        <w:rFonts w:ascii="Lustria" w:eastAsia="Lustria" w:hAnsi="Lustria" w:cs="Lustria"/>
        <w:color w:val="000000"/>
        <w:szCs w:val="20"/>
      </w:rPr>
    </w:pPr>
    <w:r w:rsidRPr="00984CD1">
      <w:rPr>
        <w:rFonts w:ascii="Lustria" w:eastAsia="Lustria" w:hAnsi="Lustria" w:cs="Lustria"/>
        <w:color w:val="000000"/>
        <w:szCs w:val="20"/>
      </w:rPr>
      <w:t xml:space="preserve">MAKSIMUM: Media </w:t>
    </w:r>
    <w:proofErr w:type="spellStart"/>
    <w:r w:rsidRPr="00984CD1">
      <w:rPr>
        <w:rFonts w:ascii="Lustria" w:eastAsia="Lustria" w:hAnsi="Lustria" w:cs="Lustria"/>
        <w:color w:val="000000"/>
        <w:szCs w:val="20"/>
      </w:rPr>
      <w:t>Akuntansi</w:t>
    </w:r>
    <w:proofErr w:type="spellEnd"/>
    <w:r w:rsidRPr="00984CD1">
      <w:rPr>
        <w:rFonts w:ascii="Lustria" w:eastAsia="Lustria" w:hAnsi="Lustria" w:cs="Lustria"/>
        <w:color w:val="000000"/>
        <w:szCs w:val="20"/>
      </w:rPr>
      <w:t xml:space="preserve"> Universitas Muhammadiyah Semarang Vol. 13, No. 2, 2023, pp: 2</w:t>
    </w:r>
    <w:r>
      <w:rPr>
        <w:rFonts w:ascii="Lustria" w:eastAsia="Lustria" w:hAnsi="Lustria" w:cs="Lustria"/>
        <w:color w:val="000000"/>
        <w:szCs w:val="20"/>
      </w:rPr>
      <w:t>18</w:t>
    </w:r>
    <w:r w:rsidRPr="00984CD1">
      <w:rPr>
        <w:rFonts w:ascii="Lustria" w:eastAsia="Lustria" w:hAnsi="Lustria" w:cs="Lustria"/>
        <w:color w:val="000000"/>
        <w:szCs w:val="20"/>
      </w:rPr>
      <w:t xml:space="preserve"> </w:t>
    </w:r>
    <w:r>
      <w:rPr>
        <w:rFonts w:ascii="Lustria" w:eastAsia="Lustria" w:hAnsi="Lustria" w:cs="Lustria"/>
        <w:color w:val="000000"/>
        <w:szCs w:val="20"/>
      </w:rPr>
      <w:t>–</w:t>
    </w:r>
    <w:r w:rsidRPr="00984CD1">
      <w:rPr>
        <w:rFonts w:ascii="Lustria" w:eastAsia="Lustria" w:hAnsi="Lustria" w:cs="Lustria"/>
        <w:color w:val="000000"/>
        <w:szCs w:val="20"/>
      </w:rPr>
      <w:t xml:space="preserve"> 2</w:t>
    </w:r>
    <w:r>
      <w:rPr>
        <w:rFonts w:ascii="Lustria" w:eastAsia="Lustria" w:hAnsi="Lustria" w:cs="Lustria"/>
        <w:color w:val="000000"/>
        <w:szCs w:val="20"/>
      </w:rPr>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A2A9" w14:textId="43AC96D2" w:rsidR="004D6359" w:rsidRDefault="004D6359" w:rsidP="003308BB">
    <w:pPr>
      <w:tabs>
        <w:tab w:val="left" w:pos="7740"/>
      </w:tabs>
      <w:spacing w:line="288" w:lineRule="auto"/>
      <w:ind w:left="0" w:hanging="2"/>
      <w:rPr>
        <w:rFonts w:ascii="Lustria" w:eastAsia="Lustria" w:hAnsi="Lustria" w:cs="Lust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833"/>
    <w:multiLevelType w:val="hybridMultilevel"/>
    <w:tmpl w:val="57803A4A"/>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 w15:restartNumberingAfterBreak="0">
    <w:nsid w:val="093F53CC"/>
    <w:multiLevelType w:val="hybridMultilevel"/>
    <w:tmpl w:val="CE6A5216"/>
    <w:lvl w:ilvl="0" w:tplc="A1582406">
      <w:start w:val="1"/>
      <w:numFmt w:val="decimal"/>
      <w:lvlText w:val="%1."/>
      <w:lvlJc w:val="left"/>
      <w:pPr>
        <w:ind w:left="936" w:hanging="360"/>
      </w:pPr>
      <w:rPr>
        <w:rFonts w:ascii="Times New Roman" w:hAnsi="Times New Roman" w:cs="Times New Roman" w:hint="default"/>
        <w:i w:val="0"/>
        <w:iCs w:val="0"/>
      </w:rPr>
    </w:lvl>
    <w:lvl w:ilvl="1" w:tplc="38090019">
      <w:start w:val="1"/>
      <w:numFmt w:val="lowerLetter"/>
      <w:lvlText w:val="%2."/>
      <w:lvlJc w:val="left"/>
      <w:pPr>
        <w:ind w:left="1656" w:hanging="360"/>
      </w:pPr>
    </w:lvl>
    <w:lvl w:ilvl="2" w:tplc="3809001B">
      <w:start w:val="1"/>
      <w:numFmt w:val="lowerRoman"/>
      <w:lvlText w:val="%3."/>
      <w:lvlJc w:val="right"/>
      <w:pPr>
        <w:ind w:left="2376" w:hanging="180"/>
      </w:pPr>
    </w:lvl>
    <w:lvl w:ilvl="3" w:tplc="3809000F">
      <w:start w:val="1"/>
      <w:numFmt w:val="decimal"/>
      <w:lvlText w:val="%4."/>
      <w:lvlJc w:val="left"/>
      <w:pPr>
        <w:ind w:left="3096" w:hanging="360"/>
      </w:pPr>
    </w:lvl>
    <w:lvl w:ilvl="4" w:tplc="38090019">
      <w:start w:val="1"/>
      <w:numFmt w:val="lowerLetter"/>
      <w:lvlText w:val="%5."/>
      <w:lvlJc w:val="left"/>
      <w:pPr>
        <w:ind w:left="3816" w:hanging="360"/>
      </w:pPr>
    </w:lvl>
    <w:lvl w:ilvl="5" w:tplc="3809001B">
      <w:start w:val="1"/>
      <w:numFmt w:val="lowerRoman"/>
      <w:lvlText w:val="%6."/>
      <w:lvlJc w:val="right"/>
      <w:pPr>
        <w:ind w:left="4536" w:hanging="180"/>
      </w:pPr>
    </w:lvl>
    <w:lvl w:ilvl="6" w:tplc="3809000F">
      <w:start w:val="1"/>
      <w:numFmt w:val="decimal"/>
      <w:lvlText w:val="%7."/>
      <w:lvlJc w:val="left"/>
      <w:pPr>
        <w:ind w:left="5256" w:hanging="360"/>
      </w:pPr>
    </w:lvl>
    <w:lvl w:ilvl="7" w:tplc="38090019">
      <w:start w:val="1"/>
      <w:numFmt w:val="lowerLetter"/>
      <w:lvlText w:val="%8."/>
      <w:lvlJc w:val="left"/>
      <w:pPr>
        <w:ind w:left="5976" w:hanging="360"/>
      </w:pPr>
    </w:lvl>
    <w:lvl w:ilvl="8" w:tplc="3809001B">
      <w:start w:val="1"/>
      <w:numFmt w:val="lowerRoman"/>
      <w:lvlText w:val="%9."/>
      <w:lvlJc w:val="right"/>
      <w:pPr>
        <w:ind w:left="6696" w:hanging="180"/>
      </w:pPr>
    </w:lvl>
  </w:abstractNum>
  <w:abstractNum w:abstractNumId="2" w15:restartNumberingAfterBreak="0">
    <w:nsid w:val="178625B5"/>
    <w:multiLevelType w:val="hybridMultilevel"/>
    <w:tmpl w:val="3BFE0B16"/>
    <w:lvl w:ilvl="0" w:tplc="A184ED44">
      <w:start w:val="1"/>
      <w:numFmt w:val="decimal"/>
      <w:lvlText w:val="%1."/>
      <w:lvlJc w:val="left"/>
      <w:pPr>
        <w:ind w:left="882" w:hanging="360"/>
      </w:pPr>
      <w:rPr>
        <w:rFonts w:ascii="Times New Roman" w:hAnsi="Times New Roman" w:cs="Times New Roman" w:hint="default"/>
        <w:i w:val="0"/>
        <w:iCs w:val="0"/>
        <w:sz w:val="22"/>
        <w:szCs w:val="22"/>
      </w:rPr>
    </w:lvl>
    <w:lvl w:ilvl="1" w:tplc="38090019">
      <w:start w:val="1"/>
      <w:numFmt w:val="lowerLetter"/>
      <w:lvlText w:val="%2."/>
      <w:lvlJc w:val="left"/>
      <w:pPr>
        <w:ind w:left="1602" w:hanging="360"/>
      </w:pPr>
    </w:lvl>
    <w:lvl w:ilvl="2" w:tplc="3809001B">
      <w:start w:val="1"/>
      <w:numFmt w:val="lowerRoman"/>
      <w:lvlText w:val="%3."/>
      <w:lvlJc w:val="right"/>
      <w:pPr>
        <w:ind w:left="2322" w:hanging="180"/>
      </w:pPr>
    </w:lvl>
    <w:lvl w:ilvl="3" w:tplc="3809000F">
      <w:start w:val="1"/>
      <w:numFmt w:val="decimal"/>
      <w:lvlText w:val="%4."/>
      <w:lvlJc w:val="left"/>
      <w:pPr>
        <w:ind w:left="3042" w:hanging="360"/>
      </w:pPr>
    </w:lvl>
    <w:lvl w:ilvl="4" w:tplc="38090019">
      <w:start w:val="1"/>
      <w:numFmt w:val="lowerLetter"/>
      <w:lvlText w:val="%5."/>
      <w:lvlJc w:val="left"/>
      <w:pPr>
        <w:ind w:left="3762" w:hanging="360"/>
      </w:pPr>
    </w:lvl>
    <w:lvl w:ilvl="5" w:tplc="3809001B">
      <w:start w:val="1"/>
      <w:numFmt w:val="lowerRoman"/>
      <w:lvlText w:val="%6."/>
      <w:lvlJc w:val="right"/>
      <w:pPr>
        <w:ind w:left="4482" w:hanging="180"/>
      </w:pPr>
    </w:lvl>
    <w:lvl w:ilvl="6" w:tplc="3809000F">
      <w:start w:val="1"/>
      <w:numFmt w:val="decimal"/>
      <w:lvlText w:val="%7."/>
      <w:lvlJc w:val="left"/>
      <w:pPr>
        <w:ind w:left="5202" w:hanging="360"/>
      </w:pPr>
    </w:lvl>
    <w:lvl w:ilvl="7" w:tplc="38090019">
      <w:start w:val="1"/>
      <w:numFmt w:val="lowerLetter"/>
      <w:lvlText w:val="%8."/>
      <w:lvlJc w:val="left"/>
      <w:pPr>
        <w:ind w:left="5922" w:hanging="360"/>
      </w:pPr>
    </w:lvl>
    <w:lvl w:ilvl="8" w:tplc="3809001B">
      <w:start w:val="1"/>
      <w:numFmt w:val="lowerRoman"/>
      <w:lvlText w:val="%9."/>
      <w:lvlJc w:val="right"/>
      <w:pPr>
        <w:ind w:left="6642" w:hanging="180"/>
      </w:pPr>
    </w:lvl>
  </w:abstractNum>
  <w:abstractNum w:abstractNumId="3" w15:restartNumberingAfterBreak="0">
    <w:nsid w:val="1F885E14"/>
    <w:multiLevelType w:val="hybridMultilevel"/>
    <w:tmpl w:val="E43671EC"/>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4" w15:restartNumberingAfterBreak="0">
    <w:nsid w:val="2D07191A"/>
    <w:multiLevelType w:val="hybridMultilevel"/>
    <w:tmpl w:val="3BC428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687BC3"/>
    <w:multiLevelType w:val="hybridMultilevel"/>
    <w:tmpl w:val="D3B8D77A"/>
    <w:lvl w:ilvl="0" w:tplc="49548866">
      <w:start w:val="1"/>
      <w:numFmt w:val="lowerLetter"/>
      <w:lvlText w:val="%1."/>
      <w:lvlJc w:val="left"/>
      <w:pPr>
        <w:ind w:left="358" w:hanging="360"/>
      </w:pPr>
    </w:lvl>
    <w:lvl w:ilvl="1" w:tplc="325C6270">
      <w:start w:val="1"/>
      <w:numFmt w:val="lowerLetter"/>
      <w:lvlText w:val="%2."/>
      <w:lvlJc w:val="left"/>
      <w:pPr>
        <w:ind w:left="1078" w:hanging="360"/>
      </w:pPr>
    </w:lvl>
    <w:lvl w:ilvl="2" w:tplc="E78A2C7A">
      <w:start w:val="1"/>
      <w:numFmt w:val="lowerRoman"/>
      <w:lvlText w:val="%3."/>
      <w:lvlJc w:val="right"/>
      <w:pPr>
        <w:ind w:left="1798" w:hanging="180"/>
      </w:pPr>
    </w:lvl>
    <w:lvl w:ilvl="3" w:tplc="95D814DC">
      <w:start w:val="1"/>
      <w:numFmt w:val="decimal"/>
      <w:lvlText w:val="%4."/>
      <w:lvlJc w:val="left"/>
      <w:pPr>
        <w:ind w:left="2518" w:hanging="360"/>
      </w:pPr>
    </w:lvl>
    <w:lvl w:ilvl="4" w:tplc="A9B06FB4">
      <w:start w:val="1"/>
      <w:numFmt w:val="lowerLetter"/>
      <w:lvlText w:val="%5."/>
      <w:lvlJc w:val="left"/>
      <w:pPr>
        <w:ind w:left="3238" w:hanging="360"/>
      </w:pPr>
    </w:lvl>
    <w:lvl w:ilvl="5" w:tplc="AA8423BC">
      <w:start w:val="1"/>
      <w:numFmt w:val="lowerRoman"/>
      <w:lvlText w:val="%6."/>
      <w:lvlJc w:val="right"/>
      <w:pPr>
        <w:ind w:left="3958" w:hanging="180"/>
      </w:pPr>
    </w:lvl>
    <w:lvl w:ilvl="6" w:tplc="6D82B38A">
      <w:start w:val="1"/>
      <w:numFmt w:val="decimal"/>
      <w:lvlText w:val="%7."/>
      <w:lvlJc w:val="left"/>
      <w:pPr>
        <w:ind w:left="4678" w:hanging="360"/>
      </w:pPr>
    </w:lvl>
    <w:lvl w:ilvl="7" w:tplc="329E2C6C">
      <w:start w:val="1"/>
      <w:numFmt w:val="lowerLetter"/>
      <w:lvlText w:val="%8."/>
      <w:lvlJc w:val="left"/>
      <w:pPr>
        <w:ind w:left="5398" w:hanging="360"/>
      </w:pPr>
    </w:lvl>
    <w:lvl w:ilvl="8" w:tplc="ADE4AF02">
      <w:start w:val="1"/>
      <w:numFmt w:val="lowerRoman"/>
      <w:lvlText w:val="%9."/>
      <w:lvlJc w:val="right"/>
      <w:pPr>
        <w:ind w:left="6118" w:hanging="180"/>
      </w:pPr>
    </w:lvl>
  </w:abstractNum>
  <w:abstractNum w:abstractNumId="6" w15:restartNumberingAfterBreak="0">
    <w:nsid w:val="2FF219D0"/>
    <w:multiLevelType w:val="multilevel"/>
    <w:tmpl w:val="23A288D0"/>
    <w:lvl w:ilvl="0">
      <w:start w:val="1"/>
      <w:numFmt w:val="decimal"/>
      <w:lvlText w:val="%1."/>
      <w:lvlJc w:val="left"/>
      <w:pPr>
        <w:ind w:left="936" w:hanging="360"/>
      </w:pPr>
      <w:rPr>
        <w:rFonts w:ascii="Times New Roman" w:hAnsi="Times New Roman" w:cs="Times New Roman" w:hint="default"/>
        <w:i w:val="0"/>
        <w:iCs w:val="0"/>
      </w:rPr>
    </w:lvl>
    <w:lvl w:ilvl="1">
      <w:start w:val="1"/>
      <w:numFmt w:val="decimal"/>
      <w:isLgl/>
      <w:lvlText w:val="%1.%2"/>
      <w:lvlJc w:val="left"/>
      <w:pPr>
        <w:ind w:left="936" w:hanging="360"/>
      </w:pPr>
      <w:rPr>
        <w:w w:val="110"/>
      </w:rPr>
    </w:lvl>
    <w:lvl w:ilvl="2">
      <w:start w:val="1"/>
      <w:numFmt w:val="decimal"/>
      <w:isLgl/>
      <w:lvlText w:val="%1.%2.%3"/>
      <w:lvlJc w:val="left"/>
      <w:pPr>
        <w:ind w:left="1296" w:hanging="720"/>
      </w:pPr>
      <w:rPr>
        <w:w w:val="110"/>
      </w:rPr>
    </w:lvl>
    <w:lvl w:ilvl="3">
      <w:start w:val="1"/>
      <w:numFmt w:val="decimal"/>
      <w:isLgl/>
      <w:lvlText w:val="%1.%2.%3.%4"/>
      <w:lvlJc w:val="left"/>
      <w:pPr>
        <w:ind w:left="1296" w:hanging="720"/>
      </w:pPr>
      <w:rPr>
        <w:w w:val="110"/>
      </w:rPr>
    </w:lvl>
    <w:lvl w:ilvl="4">
      <w:start w:val="1"/>
      <w:numFmt w:val="decimal"/>
      <w:isLgl/>
      <w:lvlText w:val="%1.%2.%3.%4.%5"/>
      <w:lvlJc w:val="left"/>
      <w:pPr>
        <w:ind w:left="1656" w:hanging="1080"/>
      </w:pPr>
      <w:rPr>
        <w:w w:val="110"/>
      </w:rPr>
    </w:lvl>
    <w:lvl w:ilvl="5">
      <w:start w:val="1"/>
      <w:numFmt w:val="decimal"/>
      <w:isLgl/>
      <w:lvlText w:val="%1.%2.%3.%4.%5.%6"/>
      <w:lvlJc w:val="left"/>
      <w:pPr>
        <w:ind w:left="1656" w:hanging="1080"/>
      </w:pPr>
      <w:rPr>
        <w:w w:val="110"/>
      </w:rPr>
    </w:lvl>
    <w:lvl w:ilvl="6">
      <w:start w:val="1"/>
      <w:numFmt w:val="decimal"/>
      <w:isLgl/>
      <w:lvlText w:val="%1.%2.%3.%4.%5.%6.%7"/>
      <w:lvlJc w:val="left"/>
      <w:pPr>
        <w:ind w:left="2016" w:hanging="1440"/>
      </w:pPr>
      <w:rPr>
        <w:w w:val="110"/>
      </w:rPr>
    </w:lvl>
    <w:lvl w:ilvl="7">
      <w:start w:val="1"/>
      <w:numFmt w:val="decimal"/>
      <w:isLgl/>
      <w:lvlText w:val="%1.%2.%3.%4.%5.%6.%7.%8"/>
      <w:lvlJc w:val="left"/>
      <w:pPr>
        <w:ind w:left="2016" w:hanging="1440"/>
      </w:pPr>
      <w:rPr>
        <w:w w:val="110"/>
      </w:rPr>
    </w:lvl>
    <w:lvl w:ilvl="8">
      <w:start w:val="1"/>
      <w:numFmt w:val="decimal"/>
      <w:isLgl/>
      <w:lvlText w:val="%1.%2.%3.%4.%5.%6.%7.%8.%9"/>
      <w:lvlJc w:val="left"/>
      <w:pPr>
        <w:ind w:left="2376" w:hanging="1800"/>
      </w:pPr>
      <w:rPr>
        <w:w w:val="110"/>
      </w:rPr>
    </w:lvl>
  </w:abstractNum>
  <w:abstractNum w:abstractNumId="7" w15:restartNumberingAfterBreak="0">
    <w:nsid w:val="3EE21502"/>
    <w:multiLevelType w:val="hybridMultilevel"/>
    <w:tmpl w:val="4084552C"/>
    <w:lvl w:ilvl="0" w:tplc="F1525C5C">
      <w:start w:val="1"/>
      <w:numFmt w:val="decimal"/>
      <w:lvlText w:val="%1."/>
      <w:lvlJc w:val="left"/>
      <w:pPr>
        <w:ind w:left="360" w:hanging="360"/>
      </w:pPr>
      <w:rPr>
        <w:b/>
        <w:sz w:val="24"/>
        <w:szCs w:val="24"/>
      </w:rPr>
    </w:lvl>
    <w:lvl w:ilvl="1" w:tplc="B24C9F82">
      <w:start w:val="1"/>
      <w:numFmt w:val="lowerLetter"/>
      <w:lvlText w:val="%2."/>
      <w:lvlJc w:val="left"/>
      <w:pPr>
        <w:ind w:left="1080" w:hanging="360"/>
      </w:pPr>
    </w:lvl>
    <w:lvl w:ilvl="2" w:tplc="D4B23D12">
      <w:start w:val="1"/>
      <w:numFmt w:val="lowerRoman"/>
      <w:lvlText w:val="%3."/>
      <w:lvlJc w:val="right"/>
      <w:pPr>
        <w:ind w:left="1800" w:hanging="180"/>
      </w:pPr>
    </w:lvl>
    <w:lvl w:ilvl="3" w:tplc="4CA4B952">
      <w:start w:val="1"/>
      <w:numFmt w:val="decimal"/>
      <w:lvlText w:val="%4."/>
      <w:lvlJc w:val="left"/>
      <w:pPr>
        <w:ind w:left="2520" w:hanging="360"/>
      </w:pPr>
    </w:lvl>
    <w:lvl w:ilvl="4" w:tplc="02BA1AEE">
      <w:start w:val="1"/>
      <w:numFmt w:val="lowerLetter"/>
      <w:lvlText w:val="%5."/>
      <w:lvlJc w:val="left"/>
      <w:pPr>
        <w:ind w:left="3240" w:hanging="360"/>
      </w:pPr>
    </w:lvl>
    <w:lvl w:ilvl="5" w:tplc="7EF06492">
      <w:start w:val="1"/>
      <w:numFmt w:val="lowerRoman"/>
      <w:lvlText w:val="%6."/>
      <w:lvlJc w:val="right"/>
      <w:pPr>
        <w:ind w:left="3960" w:hanging="180"/>
      </w:pPr>
    </w:lvl>
    <w:lvl w:ilvl="6" w:tplc="B47A5310">
      <w:start w:val="1"/>
      <w:numFmt w:val="decimal"/>
      <w:lvlText w:val="%7."/>
      <w:lvlJc w:val="left"/>
      <w:pPr>
        <w:ind w:left="4680" w:hanging="360"/>
      </w:pPr>
    </w:lvl>
    <w:lvl w:ilvl="7" w:tplc="12629048">
      <w:start w:val="1"/>
      <w:numFmt w:val="lowerLetter"/>
      <w:lvlText w:val="%8."/>
      <w:lvlJc w:val="left"/>
      <w:pPr>
        <w:ind w:left="5400" w:hanging="360"/>
      </w:pPr>
    </w:lvl>
    <w:lvl w:ilvl="8" w:tplc="84786222">
      <w:start w:val="1"/>
      <w:numFmt w:val="lowerRoman"/>
      <w:lvlText w:val="%9."/>
      <w:lvlJc w:val="right"/>
      <w:pPr>
        <w:ind w:left="6120" w:hanging="180"/>
      </w:pPr>
    </w:lvl>
  </w:abstractNum>
  <w:abstractNum w:abstractNumId="8" w15:restartNumberingAfterBreak="0">
    <w:nsid w:val="402048BB"/>
    <w:multiLevelType w:val="hybridMultilevel"/>
    <w:tmpl w:val="E35034B2"/>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9" w15:restartNumberingAfterBreak="0">
    <w:nsid w:val="45034880"/>
    <w:multiLevelType w:val="hybridMultilevel"/>
    <w:tmpl w:val="8CCE40DC"/>
    <w:lvl w:ilvl="0" w:tplc="98D23A3C">
      <w:start w:val="1"/>
      <w:numFmt w:val="decimal"/>
      <w:lvlText w:val="%1."/>
      <w:lvlJc w:val="left"/>
      <w:pPr>
        <w:ind w:left="576" w:hanging="360"/>
      </w:pPr>
      <w:rPr>
        <w:rFonts w:ascii="Times New Roman" w:eastAsia="Cambria" w:hAnsi="Times New Roman" w:cs="Times New Roman" w:hint="default"/>
        <w:i w:val="0"/>
        <w:iCs w:val="0"/>
        <w:spacing w:val="-1"/>
        <w:w w:val="123"/>
        <w:sz w:val="22"/>
        <w:szCs w:val="22"/>
        <w:lang w:val="en-US" w:eastAsia="en-US" w:bidi="ar-SA"/>
      </w:rPr>
    </w:lvl>
    <w:lvl w:ilvl="1" w:tplc="CC1CF550">
      <w:numFmt w:val="bullet"/>
      <w:lvlText w:val="•"/>
      <w:lvlJc w:val="left"/>
      <w:pPr>
        <w:ind w:left="994" w:hanging="360"/>
      </w:pPr>
      <w:rPr>
        <w:lang w:val="en-US" w:eastAsia="en-US" w:bidi="ar-SA"/>
      </w:rPr>
    </w:lvl>
    <w:lvl w:ilvl="2" w:tplc="9ABE0AEA">
      <w:numFmt w:val="bullet"/>
      <w:lvlText w:val="•"/>
      <w:lvlJc w:val="left"/>
      <w:pPr>
        <w:ind w:left="1409" w:hanging="360"/>
      </w:pPr>
      <w:rPr>
        <w:lang w:val="en-US" w:eastAsia="en-US" w:bidi="ar-SA"/>
      </w:rPr>
    </w:lvl>
    <w:lvl w:ilvl="3" w:tplc="38E65B38">
      <w:numFmt w:val="bullet"/>
      <w:lvlText w:val="•"/>
      <w:lvlJc w:val="left"/>
      <w:pPr>
        <w:ind w:left="1823" w:hanging="360"/>
      </w:pPr>
      <w:rPr>
        <w:lang w:val="en-US" w:eastAsia="en-US" w:bidi="ar-SA"/>
      </w:rPr>
    </w:lvl>
    <w:lvl w:ilvl="4" w:tplc="E0E65B7E">
      <w:numFmt w:val="bullet"/>
      <w:lvlText w:val="•"/>
      <w:lvlJc w:val="left"/>
      <w:pPr>
        <w:ind w:left="2238" w:hanging="360"/>
      </w:pPr>
      <w:rPr>
        <w:lang w:val="en-US" w:eastAsia="en-US" w:bidi="ar-SA"/>
      </w:rPr>
    </w:lvl>
    <w:lvl w:ilvl="5" w:tplc="7CF42602">
      <w:numFmt w:val="bullet"/>
      <w:lvlText w:val="•"/>
      <w:lvlJc w:val="left"/>
      <w:pPr>
        <w:ind w:left="2653" w:hanging="360"/>
      </w:pPr>
      <w:rPr>
        <w:lang w:val="en-US" w:eastAsia="en-US" w:bidi="ar-SA"/>
      </w:rPr>
    </w:lvl>
    <w:lvl w:ilvl="6" w:tplc="88500152">
      <w:numFmt w:val="bullet"/>
      <w:lvlText w:val="•"/>
      <w:lvlJc w:val="left"/>
      <w:pPr>
        <w:ind w:left="3067" w:hanging="360"/>
      </w:pPr>
      <w:rPr>
        <w:lang w:val="en-US" w:eastAsia="en-US" w:bidi="ar-SA"/>
      </w:rPr>
    </w:lvl>
    <w:lvl w:ilvl="7" w:tplc="E06A0238">
      <w:numFmt w:val="bullet"/>
      <w:lvlText w:val="•"/>
      <w:lvlJc w:val="left"/>
      <w:pPr>
        <w:ind w:left="3482" w:hanging="360"/>
      </w:pPr>
      <w:rPr>
        <w:lang w:val="en-US" w:eastAsia="en-US" w:bidi="ar-SA"/>
      </w:rPr>
    </w:lvl>
    <w:lvl w:ilvl="8" w:tplc="81F64320">
      <w:numFmt w:val="bullet"/>
      <w:lvlText w:val="•"/>
      <w:lvlJc w:val="left"/>
      <w:pPr>
        <w:ind w:left="3896" w:hanging="360"/>
      </w:pPr>
      <w:rPr>
        <w:lang w:val="en-US" w:eastAsia="en-US" w:bidi="ar-SA"/>
      </w:rPr>
    </w:lvl>
  </w:abstractNum>
  <w:abstractNum w:abstractNumId="10" w15:restartNumberingAfterBreak="0">
    <w:nsid w:val="50CA1E2B"/>
    <w:multiLevelType w:val="hybridMultilevel"/>
    <w:tmpl w:val="19C61248"/>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1" w15:restartNumberingAfterBreak="0">
    <w:nsid w:val="5E662DA1"/>
    <w:multiLevelType w:val="hybridMultilevel"/>
    <w:tmpl w:val="8AE0200E"/>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2" w15:restartNumberingAfterBreak="0">
    <w:nsid w:val="64AB3D92"/>
    <w:multiLevelType w:val="hybridMultilevel"/>
    <w:tmpl w:val="BD3E9B2E"/>
    <w:lvl w:ilvl="0" w:tplc="AE6C0318">
      <w:start w:val="1"/>
      <w:numFmt w:val="decimal"/>
      <w:lvlText w:val="%1."/>
      <w:lvlJc w:val="left"/>
      <w:pPr>
        <w:ind w:left="576" w:hanging="360"/>
      </w:pPr>
      <w:rPr>
        <w:rFonts w:ascii="Times New Roman" w:eastAsia="Cambria" w:hAnsi="Times New Roman" w:cs="Times New Roman" w:hint="default"/>
        <w:i w:val="0"/>
        <w:iCs w:val="0"/>
        <w:spacing w:val="-1"/>
        <w:w w:val="123"/>
        <w:sz w:val="22"/>
        <w:szCs w:val="22"/>
        <w:lang w:val="en-US" w:eastAsia="en-US" w:bidi="ar-SA"/>
      </w:rPr>
    </w:lvl>
    <w:lvl w:ilvl="1" w:tplc="C42C66C2">
      <w:numFmt w:val="bullet"/>
      <w:lvlText w:val="•"/>
      <w:lvlJc w:val="left"/>
      <w:pPr>
        <w:ind w:left="994" w:hanging="360"/>
      </w:pPr>
      <w:rPr>
        <w:lang w:val="en-US" w:eastAsia="en-US" w:bidi="ar-SA"/>
      </w:rPr>
    </w:lvl>
    <w:lvl w:ilvl="2" w:tplc="99364776">
      <w:numFmt w:val="bullet"/>
      <w:lvlText w:val="•"/>
      <w:lvlJc w:val="left"/>
      <w:pPr>
        <w:ind w:left="1409" w:hanging="360"/>
      </w:pPr>
      <w:rPr>
        <w:lang w:val="en-US" w:eastAsia="en-US" w:bidi="ar-SA"/>
      </w:rPr>
    </w:lvl>
    <w:lvl w:ilvl="3" w:tplc="EFD44838">
      <w:numFmt w:val="bullet"/>
      <w:lvlText w:val="•"/>
      <w:lvlJc w:val="left"/>
      <w:pPr>
        <w:ind w:left="1823" w:hanging="360"/>
      </w:pPr>
      <w:rPr>
        <w:lang w:val="en-US" w:eastAsia="en-US" w:bidi="ar-SA"/>
      </w:rPr>
    </w:lvl>
    <w:lvl w:ilvl="4" w:tplc="0226C644">
      <w:numFmt w:val="bullet"/>
      <w:lvlText w:val="•"/>
      <w:lvlJc w:val="left"/>
      <w:pPr>
        <w:ind w:left="2238" w:hanging="360"/>
      </w:pPr>
      <w:rPr>
        <w:lang w:val="en-US" w:eastAsia="en-US" w:bidi="ar-SA"/>
      </w:rPr>
    </w:lvl>
    <w:lvl w:ilvl="5" w:tplc="A3C066FE">
      <w:numFmt w:val="bullet"/>
      <w:lvlText w:val="•"/>
      <w:lvlJc w:val="left"/>
      <w:pPr>
        <w:ind w:left="2653" w:hanging="360"/>
      </w:pPr>
      <w:rPr>
        <w:lang w:val="en-US" w:eastAsia="en-US" w:bidi="ar-SA"/>
      </w:rPr>
    </w:lvl>
    <w:lvl w:ilvl="6" w:tplc="A5146042">
      <w:numFmt w:val="bullet"/>
      <w:lvlText w:val="•"/>
      <w:lvlJc w:val="left"/>
      <w:pPr>
        <w:ind w:left="3067" w:hanging="360"/>
      </w:pPr>
      <w:rPr>
        <w:lang w:val="en-US" w:eastAsia="en-US" w:bidi="ar-SA"/>
      </w:rPr>
    </w:lvl>
    <w:lvl w:ilvl="7" w:tplc="2C3EBE86">
      <w:numFmt w:val="bullet"/>
      <w:lvlText w:val="•"/>
      <w:lvlJc w:val="left"/>
      <w:pPr>
        <w:ind w:left="3482" w:hanging="360"/>
      </w:pPr>
      <w:rPr>
        <w:lang w:val="en-US" w:eastAsia="en-US" w:bidi="ar-SA"/>
      </w:rPr>
    </w:lvl>
    <w:lvl w:ilvl="8" w:tplc="A830EC46">
      <w:numFmt w:val="bullet"/>
      <w:lvlText w:val="•"/>
      <w:lvlJc w:val="left"/>
      <w:pPr>
        <w:ind w:left="3896" w:hanging="360"/>
      </w:pPr>
      <w:rPr>
        <w:lang w:val="en-US" w:eastAsia="en-US" w:bidi="ar-SA"/>
      </w:rPr>
    </w:lvl>
  </w:abstractNum>
  <w:abstractNum w:abstractNumId="13" w15:restartNumberingAfterBreak="0">
    <w:nsid w:val="70CF727B"/>
    <w:multiLevelType w:val="hybridMultilevel"/>
    <w:tmpl w:val="D20CCBBA"/>
    <w:lvl w:ilvl="0" w:tplc="30E06D2C">
      <w:start w:val="1"/>
      <w:numFmt w:val="decimal"/>
      <w:lvlText w:val="%1."/>
      <w:lvlJc w:val="left"/>
      <w:pPr>
        <w:ind w:left="936" w:hanging="360"/>
      </w:pPr>
      <w:rPr>
        <w:i w:val="0"/>
        <w:iCs w:val="0"/>
      </w:rPr>
    </w:lvl>
    <w:lvl w:ilvl="1" w:tplc="38090019">
      <w:start w:val="1"/>
      <w:numFmt w:val="lowerLetter"/>
      <w:lvlText w:val="%2."/>
      <w:lvlJc w:val="left"/>
      <w:pPr>
        <w:ind w:left="1656" w:hanging="360"/>
      </w:pPr>
    </w:lvl>
    <w:lvl w:ilvl="2" w:tplc="3809001B">
      <w:start w:val="1"/>
      <w:numFmt w:val="lowerRoman"/>
      <w:lvlText w:val="%3."/>
      <w:lvlJc w:val="right"/>
      <w:pPr>
        <w:ind w:left="2376" w:hanging="180"/>
      </w:pPr>
    </w:lvl>
    <w:lvl w:ilvl="3" w:tplc="3809000F">
      <w:start w:val="1"/>
      <w:numFmt w:val="decimal"/>
      <w:lvlText w:val="%4."/>
      <w:lvlJc w:val="left"/>
      <w:pPr>
        <w:ind w:left="3096" w:hanging="360"/>
      </w:pPr>
    </w:lvl>
    <w:lvl w:ilvl="4" w:tplc="38090019">
      <w:start w:val="1"/>
      <w:numFmt w:val="lowerLetter"/>
      <w:lvlText w:val="%5."/>
      <w:lvlJc w:val="left"/>
      <w:pPr>
        <w:ind w:left="3816" w:hanging="360"/>
      </w:pPr>
    </w:lvl>
    <w:lvl w:ilvl="5" w:tplc="3809001B">
      <w:start w:val="1"/>
      <w:numFmt w:val="lowerRoman"/>
      <w:lvlText w:val="%6."/>
      <w:lvlJc w:val="right"/>
      <w:pPr>
        <w:ind w:left="4536" w:hanging="180"/>
      </w:pPr>
    </w:lvl>
    <w:lvl w:ilvl="6" w:tplc="3809000F">
      <w:start w:val="1"/>
      <w:numFmt w:val="decimal"/>
      <w:lvlText w:val="%7."/>
      <w:lvlJc w:val="left"/>
      <w:pPr>
        <w:ind w:left="5256" w:hanging="360"/>
      </w:pPr>
    </w:lvl>
    <w:lvl w:ilvl="7" w:tplc="38090019">
      <w:start w:val="1"/>
      <w:numFmt w:val="lowerLetter"/>
      <w:lvlText w:val="%8."/>
      <w:lvlJc w:val="left"/>
      <w:pPr>
        <w:ind w:left="5976" w:hanging="360"/>
      </w:pPr>
    </w:lvl>
    <w:lvl w:ilvl="8" w:tplc="3809001B">
      <w:start w:val="1"/>
      <w:numFmt w:val="lowerRoman"/>
      <w:lvlText w:val="%9."/>
      <w:lvlJc w:val="right"/>
      <w:pPr>
        <w:ind w:left="6696" w:hanging="180"/>
      </w:pPr>
    </w:lvl>
  </w:abstractNum>
  <w:abstractNum w:abstractNumId="14" w15:restartNumberingAfterBreak="0">
    <w:nsid w:val="723776B3"/>
    <w:multiLevelType w:val="hybridMultilevel"/>
    <w:tmpl w:val="EA58C7B4"/>
    <w:lvl w:ilvl="0" w:tplc="4C0E383A">
      <w:start w:val="1"/>
      <w:numFmt w:val="lowerLetter"/>
      <w:lvlText w:val="%1."/>
      <w:lvlJc w:val="left"/>
      <w:pPr>
        <w:ind w:left="358" w:hanging="360"/>
      </w:pPr>
      <w:rPr>
        <w:b/>
        <w:bCs/>
      </w:rPr>
    </w:lvl>
    <w:lvl w:ilvl="1" w:tplc="86F4AB12">
      <w:start w:val="1"/>
      <w:numFmt w:val="lowerLetter"/>
      <w:lvlText w:val="%2."/>
      <w:lvlJc w:val="left"/>
      <w:pPr>
        <w:ind w:left="1078" w:hanging="360"/>
      </w:pPr>
    </w:lvl>
    <w:lvl w:ilvl="2" w:tplc="6CF46394">
      <w:start w:val="1"/>
      <w:numFmt w:val="lowerRoman"/>
      <w:lvlText w:val="%3."/>
      <w:lvlJc w:val="right"/>
      <w:pPr>
        <w:ind w:left="1798" w:hanging="180"/>
      </w:pPr>
    </w:lvl>
    <w:lvl w:ilvl="3" w:tplc="9C3E60CE">
      <w:start w:val="1"/>
      <w:numFmt w:val="decimal"/>
      <w:lvlText w:val="%4."/>
      <w:lvlJc w:val="left"/>
      <w:pPr>
        <w:ind w:left="2518" w:hanging="360"/>
      </w:pPr>
    </w:lvl>
    <w:lvl w:ilvl="4" w:tplc="4FDC127C">
      <w:start w:val="1"/>
      <w:numFmt w:val="lowerLetter"/>
      <w:lvlText w:val="%5."/>
      <w:lvlJc w:val="left"/>
      <w:pPr>
        <w:ind w:left="3238" w:hanging="360"/>
      </w:pPr>
    </w:lvl>
    <w:lvl w:ilvl="5" w:tplc="A13880F2">
      <w:start w:val="1"/>
      <w:numFmt w:val="lowerRoman"/>
      <w:lvlText w:val="%6."/>
      <w:lvlJc w:val="right"/>
      <w:pPr>
        <w:ind w:left="3958" w:hanging="180"/>
      </w:pPr>
    </w:lvl>
    <w:lvl w:ilvl="6" w:tplc="27E837C6">
      <w:start w:val="1"/>
      <w:numFmt w:val="decimal"/>
      <w:lvlText w:val="%7."/>
      <w:lvlJc w:val="left"/>
      <w:pPr>
        <w:ind w:left="4678" w:hanging="360"/>
      </w:pPr>
    </w:lvl>
    <w:lvl w:ilvl="7" w:tplc="1C8698A6">
      <w:start w:val="1"/>
      <w:numFmt w:val="lowerLetter"/>
      <w:lvlText w:val="%8."/>
      <w:lvlJc w:val="left"/>
      <w:pPr>
        <w:ind w:left="5398" w:hanging="360"/>
      </w:pPr>
    </w:lvl>
    <w:lvl w:ilvl="8" w:tplc="C63A59B6">
      <w:start w:val="1"/>
      <w:numFmt w:val="lowerRoman"/>
      <w:lvlText w:val="%9."/>
      <w:lvlJc w:val="right"/>
      <w:pPr>
        <w:ind w:left="6118" w:hanging="180"/>
      </w:pPr>
    </w:lvl>
  </w:abstractNum>
  <w:num w:numId="1" w16cid:durableId="1747336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297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4745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4328868">
    <w:abstractNumId w:val="9"/>
    <w:lvlOverride w:ilvl="0">
      <w:startOverride w:val="1"/>
    </w:lvlOverride>
    <w:lvlOverride w:ilvl="1"/>
    <w:lvlOverride w:ilvl="2"/>
    <w:lvlOverride w:ilvl="3"/>
    <w:lvlOverride w:ilvl="4"/>
    <w:lvlOverride w:ilvl="5"/>
    <w:lvlOverride w:ilvl="6"/>
    <w:lvlOverride w:ilvl="7"/>
    <w:lvlOverride w:ilvl="8"/>
  </w:num>
  <w:num w:numId="5" w16cid:durableId="625283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0806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718040">
    <w:abstractNumId w:val="12"/>
    <w:lvlOverride w:ilvl="0">
      <w:startOverride w:val="1"/>
    </w:lvlOverride>
    <w:lvlOverride w:ilvl="1"/>
    <w:lvlOverride w:ilvl="2"/>
    <w:lvlOverride w:ilvl="3"/>
    <w:lvlOverride w:ilvl="4"/>
    <w:lvlOverride w:ilvl="5"/>
    <w:lvlOverride w:ilvl="6"/>
    <w:lvlOverride w:ilvl="7"/>
    <w:lvlOverride w:ilvl="8"/>
  </w:num>
  <w:num w:numId="8" w16cid:durableId="88475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276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6732195">
    <w:abstractNumId w:val="8"/>
  </w:num>
  <w:num w:numId="11" w16cid:durableId="391344384">
    <w:abstractNumId w:val="11"/>
  </w:num>
  <w:num w:numId="12" w16cid:durableId="738862795">
    <w:abstractNumId w:val="3"/>
  </w:num>
  <w:num w:numId="13" w16cid:durableId="56519670">
    <w:abstractNumId w:val="4"/>
  </w:num>
  <w:num w:numId="14" w16cid:durableId="208803738">
    <w:abstractNumId w:val="0"/>
  </w:num>
  <w:num w:numId="15" w16cid:durableId="1157377851">
    <w:abstractNumId w:val="10"/>
  </w:num>
  <w:num w:numId="16" w16cid:durableId="261105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BC"/>
    <w:rsid w:val="000041DD"/>
    <w:rsid w:val="00004EFC"/>
    <w:rsid w:val="0004617F"/>
    <w:rsid w:val="00056257"/>
    <w:rsid w:val="00064A76"/>
    <w:rsid w:val="000728D6"/>
    <w:rsid w:val="00097897"/>
    <w:rsid w:val="000A2766"/>
    <w:rsid w:val="000A7AB2"/>
    <w:rsid w:val="000C62D7"/>
    <w:rsid w:val="000E1341"/>
    <w:rsid w:val="000E3A7F"/>
    <w:rsid w:val="000E5A3F"/>
    <w:rsid w:val="000F2A1B"/>
    <w:rsid w:val="00120B44"/>
    <w:rsid w:val="00121343"/>
    <w:rsid w:val="0013488D"/>
    <w:rsid w:val="00136886"/>
    <w:rsid w:val="00137794"/>
    <w:rsid w:val="00145610"/>
    <w:rsid w:val="001A3188"/>
    <w:rsid w:val="001E7D6C"/>
    <w:rsid w:val="001F3F44"/>
    <w:rsid w:val="00216987"/>
    <w:rsid w:val="00235924"/>
    <w:rsid w:val="002618BA"/>
    <w:rsid w:val="00264A67"/>
    <w:rsid w:val="0028169A"/>
    <w:rsid w:val="0029545F"/>
    <w:rsid w:val="00295E58"/>
    <w:rsid w:val="002A459C"/>
    <w:rsid w:val="002A7C84"/>
    <w:rsid w:val="002B03C3"/>
    <w:rsid w:val="002B5BA5"/>
    <w:rsid w:val="002C01C3"/>
    <w:rsid w:val="002D10FB"/>
    <w:rsid w:val="002D74F3"/>
    <w:rsid w:val="00300557"/>
    <w:rsid w:val="003308BB"/>
    <w:rsid w:val="003426AF"/>
    <w:rsid w:val="003437CB"/>
    <w:rsid w:val="00344105"/>
    <w:rsid w:val="003441F6"/>
    <w:rsid w:val="00347EF4"/>
    <w:rsid w:val="003500F5"/>
    <w:rsid w:val="00371C96"/>
    <w:rsid w:val="00390E90"/>
    <w:rsid w:val="003A26C0"/>
    <w:rsid w:val="003D4EAD"/>
    <w:rsid w:val="003F23DF"/>
    <w:rsid w:val="003F2DE4"/>
    <w:rsid w:val="003F633F"/>
    <w:rsid w:val="00401F9E"/>
    <w:rsid w:val="00405721"/>
    <w:rsid w:val="00412692"/>
    <w:rsid w:val="00414831"/>
    <w:rsid w:val="004200F8"/>
    <w:rsid w:val="00423D57"/>
    <w:rsid w:val="00480B0A"/>
    <w:rsid w:val="00490665"/>
    <w:rsid w:val="004B356B"/>
    <w:rsid w:val="004D083A"/>
    <w:rsid w:val="004D6359"/>
    <w:rsid w:val="004E307D"/>
    <w:rsid w:val="004E4EB8"/>
    <w:rsid w:val="004F3A48"/>
    <w:rsid w:val="00503AD6"/>
    <w:rsid w:val="00523DA5"/>
    <w:rsid w:val="00526AE7"/>
    <w:rsid w:val="005351D5"/>
    <w:rsid w:val="00574C95"/>
    <w:rsid w:val="005B7CD4"/>
    <w:rsid w:val="005C5F15"/>
    <w:rsid w:val="005F4FB1"/>
    <w:rsid w:val="005F7C03"/>
    <w:rsid w:val="006334E5"/>
    <w:rsid w:val="00641DED"/>
    <w:rsid w:val="00642E44"/>
    <w:rsid w:val="00680DEB"/>
    <w:rsid w:val="00694710"/>
    <w:rsid w:val="006B0538"/>
    <w:rsid w:val="006C0172"/>
    <w:rsid w:val="006C1D06"/>
    <w:rsid w:val="006C4906"/>
    <w:rsid w:val="006C5E02"/>
    <w:rsid w:val="006F207E"/>
    <w:rsid w:val="007254CB"/>
    <w:rsid w:val="007346F6"/>
    <w:rsid w:val="00734AA1"/>
    <w:rsid w:val="007407D9"/>
    <w:rsid w:val="00757F70"/>
    <w:rsid w:val="007634B6"/>
    <w:rsid w:val="007734FB"/>
    <w:rsid w:val="0078353B"/>
    <w:rsid w:val="00786E67"/>
    <w:rsid w:val="007A335A"/>
    <w:rsid w:val="007B2FF9"/>
    <w:rsid w:val="007C4FC7"/>
    <w:rsid w:val="007E2221"/>
    <w:rsid w:val="007F3695"/>
    <w:rsid w:val="00845CD4"/>
    <w:rsid w:val="008516CE"/>
    <w:rsid w:val="00854681"/>
    <w:rsid w:val="008558B5"/>
    <w:rsid w:val="00895ACA"/>
    <w:rsid w:val="008C69EA"/>
    <w:rsid w:val="008C6C51"/>
    <w:rsid w:val="00914336"/>
    <w:rsid w:val="00925487"/>
    <w:rsid w:val="00926C34"/>
    <w:rsid w:val="00931548"/>
    <w:rsid w:val="00964199"/>
    <w:rsid w:val="009663C5"/>
    <w:rsid w:val="00984CD1"/>
    <w:rsid w:val="00987287"/>
    <w:rsid w:val="009B087A"/>
    <w:rsid w:val="009C0CFD"/>
    <w:rsid w:val="009D3759"/>
    <w:rsid w:val="009D522C"/>
    <w:rsid w:val="009F4D21"/>
    <w:rsid w:val="00A02E63"/>
    <w:rsid w:val="00A0408B"/>
    <w:rsid w:val="00A170E4"/>
    <w:rsid w:val="00A24582"/>
    <w:rsid w:val="00AA2A2C"/>
    <w:rsid w:val="00AB1E92"/>
    <w:rsid w:val="00AB7526"/>
    <w:rsid w:val="00AD790B"/>
    <w:rsid w:val="00B23483"/>
    <w:rsid w:val="00B33AC7"/>
    <w:rsid w:val="00B36957"/>
    <w:rsid w:val="00B5519B"/>
    <w:rsid w:val="00B75A07"/>
    <w:rsid w:val="00B87452"/>
    <w:rsid w:val="00B91A73"/>
    <w:rsid w:val="00B96C5C"/>
    <w:rsid w:val="00BA76AF"/>
    <w:rsid w:val="00BB5C33"/>
    <w:rsid w:val="00BC53E5"/>
    <w:rsid w:val="00BD6A39"/>
    <w:rsid w:val="00BE49F1"/>
    <w:rsid w:val="00C151F1"/>
    <w:rsid w:val="00C30F66"/>
    <w:rsid w:val="00C41256"/>
    <w:rsid w:val="00C474FC"/>
    <w:rsid w:val="00C50275"/>
    <w:rsid w:val="00C6102E"/>
    <w:rsid w:val="00C83A7F"/>
    <w:rsid w:val="00CB791F"/>
    <w:rsid w:val="00CC1A5D"/>
    <w:rsid w:val="00CC4DAE"/>
    <w:rsid w:val="00CE5631"/>
    <w:rsid w:val="00D41DBC"/>
    <w:rsid w:val="00D60419"/>
    <w:rsid w:val="00D609AA"/>
    <w:rsid w:val="00D7700E"/>
    <w:rsid w:val="00D81E65"/>
    <w:rsid w:val="00DB20C0"/>
    <w:rsid w:val="00DC1BC3"/>
    <w:rsid w:val="00DD7503"/>
    <w:rsid w:val="00E071D8"/>
    <w:rsid w:val="00E12CBD"/>
    <w:rsid w:val="00E16967"/>
    <w:rsid w:val="00E35995"/>
    <w:rsid w:val="00E6731E"/>
    <w:rsid w:val="00E83F04"/>
    <w:rsid w:val="00EA31DC"/>
    <w:rsid w:val="00EA6066"/>
    <w:rsid w:val="00EC19E4"/>
    <w:rsid w:val="00ED6A44"/>
    <w:rsid w:val="00F00241"/>
    <w:rsid w:val="00F1289F"/>
    <w:rsid w:val="00F176E1"/>
    <w:rsid w:val="00F7222B"/>
    <w:rsid w:val="00FD14CB"/>
    <w:rsid w:val="00FE4D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D986F"/>
  <w15:docId w15:val="{4574E458-B17C-49C0-BB44-F4BF90BE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no Pro" w:eastAsia="Arno Pro" w:hAnsi="Arno Pro" w:cs="Arno Pro"/>
        <w:lang w:val="en-ID"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AbstrakIndo">
    <w:name w:val="Heading 1;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Abstrakinggris">
    <w:name w:val="Heading 2;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BAB">
    <w:name w:val="Heading 3;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ISI">
    <w:name w:val="Heading 4;ISI+"/>
    <w:qFormat/>
    <w:pPr>
      <w:spacing w:line="1" w:lineRule="atLeast"/>
      <w:ind w:leftChars="-1" w:left="-1" w:hangingChars="1" w:hanging="1"/>
      <w:jc w:val="both"/>
      <w:textDirection w:val="btLr"/>
      <w:textAlignment w:val="top"/>
      <w:outlineLvl w:val="3"/>
    </w:pPr>
    <w:rPr>
      <w:rFonts w:cs="Calisto MT"/>
      <w:color w:val="000000"/>
      <w:position w:val="-1"/>
      <w:sz w:val="24"/>
      <w:lang w:val="id-ID" w:eastAsia="en-US"/>
    </w:rPr>
  </w:style>
  <w:style w:type="paragraph" w:customStyle="1" w:styleId="Heading5KetTabelGambar">
    <w:name w:val="Heading 5;Ket. Tabel Gambar"/>
    <w:basedOn w:val="Heading4ISI"/>
    <w:next w:val="Heading4ISI"/>
    <w:qFormat/>
    <w:pPr>
      <w:ind w:firstLine="0"/>
      <w:jc w:val="left"/>
      <w:outlineLvl w:val="4"/>
    </w:pPr>
  </w:style>
  <w:style w:type="paragraph" w:customStyle="1" w:styleId="Heading6DaftarPustaka">
    <w:name w:val="Heading 6;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diterimadipublikasikan">
    <w:name w:val="Disetujui;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hanging="1"/>
      <w:textDirection w:val="btLr"/>
      <w:textAlignment w:val="center"/>
      <w:outlineLvl w:val="0"/>
    </w:pPr>
    <w:rPr>
      <w:rFonts w:ascii="Minion Pro" w:hAnsi="Minion Pro" w:cs="Minion Pro"/>
      <w:color w:val="000000"/>
      <w:position w:val="-1"/>
      <w:sz w:val="24"/>
      <w:szCs w:val="24"/>
      <w:lang w:val="en-GB" w:eastAsia="en-US"/>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character" w:customStyle="1" w:styleId="Heading2CharAbstrakinggrisChar">
    <w:name w:val="Heading 2 Char;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JUDUL">
    <w:name w:val="No Spacing;JUDUL +"/>
    <w:basedOn w:val="Normal"/>
    <w:next w:val="Normal"/>
    <w:pPr>
      <w:suppressAutoHyphens w:val="0"/>
      <w:jc w:val="left"/>
    </w:pPr>
    <w:rPr>
      <w:b/>
      <w:bCs/>
      <w:i/>
      <w:caps/>
      <w:sz w:val="26"/>
      <w:szCs w:val="20"/>
    </w:rPr>
  </w:style>
  <w:style w:type="character" w:customStyle="1" w:styleId="Heading1CharAbstrakIndoChar">
    <w:name w:val="Heading 1 Char;Abstrak Indo Char"/>
    <w:rPr>
      <w:rFonts w:ascii="Calisto MT" w:hAnsi="Calisto MT"/>
      <w:w w:val="100"/>
      <w:position w:val="-1"/>
      <w:sz w:val="18"/>
      <w:szCs w:val="20"/>
      <w:effect w:val="none"/>
      <w:vertAlign w:val="baseline"/>
      <w:cs w:val="0"/>
      <w:em w:val="none"/>
      <w:lang w:val="id-ID"/>
    </w:rPr>
  </w:style>
  <w:style w:type="paragraph" w:customStyle="1" w:styleId="Title5DAFTARPUSTAKA">
    <w:name w:val="Title;5 DAFTAR PUSTAKA"/>
    <w:basedOn w:val="ISI"/>
    <w:next w:val="Heading4ISI"/>
    <w:pPr>
      <w:suppressAutoHyphens w:val="0"/>
      <w:ind w:left="567" w:hanging="567"/>
    </w:pPr>
    <w:rPr>
      <w:sz w:val="18"/>
      <w:szCs w:val="20"/>
      <w:lang w:val="id-ID"/>
    </w:rPr>
  </w:style>
  <w:style w:type="character" w:customStyle="1" w:styleId="TitleChar5DAFTARPUSTAKAChar">
    <w:name w:val="Title Char;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BABChar">
    <w:name w:val="Heading 3 Char;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ISIChar">
    <w:name w:val="Heading 4 Char;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KetTabelGambarChar">
    <w:name w:val="Heading 5 Char;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DaftarPustakaChar">
    <w:name w:val="Heading 6 Char;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uiPriority w:val="11"/>
    <w:qFormat/>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Cs w:val="20"/>
    </w:rPr>
  </w:style>
  <w:style w:type="character" w:customStyle="1" w:styleId="CommentTextChar">
    <w:name w:val="Comment Text Char"/>
    <w:uiPriority w:val="99"/>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customStyle="1" w:styleId="ListParagraphChar">
    <w:name w:val="List Paragraph Char"/>
    <w:basedOn w:val="DefaultParagraphFont"/>
    <w:link w:val="ListParagraph"/>
    <w:uiPriority w:val="34"/>
    <w:qFormat/>
    <w:locked/>
    <w:rsid w:val="002B03C3"/>
    <w:rPr>
      <w:position w:val="-1"/>
      <w:szCs w:val="22"/>
      <w:lang w:val="en-US"/>
    </w:rPr>
  </w:style>
  <w:style w:type="paragraph" w:styleId="ListParagraph">
    <w:name w:val="List Paragraph"/>
    <w:basedOn w:val="Normal"/>
    <w:link w:val="ListParagraphChar"/>
    <w:uiPriority w:val="34"/>
    <w:qFormat/>
    <w:rsid w:val="002B03C3"/>
    <w:pPr>
      <w:ind w:left="720"/>
      <w:contextualSpacing/>
      <w:textDirection w:val="lrTb"/>
      <w:textAlignment w:val="auto"/>
    </w:pPr>
    <w:rPr>
      <w:lang w:eastAsia="en-ID"/>
    </w:rPr>
  </w:style>
  <w:style w:type="paragraph" w:styleId="HTMLPreformatted">
    <w:name w:val="HTML Preformatted"/>
    <w:basedOn w:val="Normal"/>
    <w:link w:val="HTMLPreformattedChar"/>
    <w:uiPriority w:val="99"/>
    <w:semiHidden/>
    <w:unhideWhenUsed/>
    <w:rsid w:val="00C4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left"/>
      <w:textDirection w:val="lrTb"/>
      <w:textAlignment w:val="auto"/>
      <w:outlineLvl w:val="9"/>
    </w:pPr>
    <w:rPr>
      <w:rFonts w:ascii="Courier New" w:eastAsia="Times New Roman" w:hAnsi="Courier New" w:cs="Courier New"/>
      <w:position w:val="0"/>
      <w:szCs w:val="20"/>
      <w:lang w:val="en-ID" w:eastAsia="en-ID"/>
    </w:rPr>
  </w:style>
  <w:style w:type="character" w:customStyle="1" w:styleId="HTMLPreformattedChar">
    <w:name w:val="HTML Preformatted Char"/>
    <w:basedOn w:val="DefaultParagraphFont"/>
    <w:link w:val="HTMLPreformatted"/>
    <w:uiPriority w:val="99"/>
    <w:semiHidden/>
    <w:rsid w:val="00C474FC"/>
    <w:rPr>
      <w:rFonts w:ascii="Courier New" w:eastAsia="Times New Roman" w:hAnsi="Courier New" w:cs="Courier New"/>
    </w:rPr>
  </w:style>
  <w:style w:type="character" w:customStyle="1" w:styleId="y2iqfc">
    <w:name w:val="y2iqfc"/>
    <w:basedOn w:val="DefaultParagraphFont"/>
    <w:rsid w:val="00C474FC"/>
  </w:style>
  <w:style w:type="paragraph" w:styleId="BodyText">
    <w:name w:val="Body Text"/>
    <w:basedOn w:val="Normal"/>
    <w:link w:val="BodyTextChar"/>
    <w:uiPriority w:val="1"/>
    <w:semiHidden/>
    <w:unhideWhenUsed/>
    <w:qFormat/>
    <w:rsid w:val="008C6C51"/>
    <w:pPr>
      <w:widowControl w:val="0"/>
      <w:suppressAutoHyphens w:val="0"/>
      <w:autoSpaceDE w:val="0"/>
      <w:autoSpaceDN w:val="0"/>
      <w:spacing w:line="240" w:lineRule="auto"/>
      <w:ind w:leftChars="0" w:left="0" w:firstLineChars="0" w:firstLine="0"/>
      <w:jc w:val="left"/>
      <w:textDirection w:val="lrTb"/>
      <w:textAlignment w:val="auto"/>
      <w:outlineLvl w:val="9"/>
    </w:pPr>
    <w:rPr>
      <w:rFonts w:ascii="Cambria" w:eastAsia="Cambria" w:hAnsi="Cambria" w:cs="Cambria"/>
      <w:position w:val="0"/>
      <w:sz w:val="22"/>
    </w:rPr>
  </w:style>
  <w:style w:type="character" w:customStyle="1" w:styleId="BodyTextChar">
    <w:name w:val="Body Text Char"/>
    <w:basedOn w:val="DefaultParagraphFont"/>
    <w:link w:val="BodyText"/>
    <w:uiPriority w:val="1"/>
    <w:semiHidden/>
    <w:rsid w:val="008C6C51"/>
    <w:rPr>
      <w:rFonts w:ascii="Cambria" w:eastAsia="Cambria" w:hAnsi="Cambria" w:cs="Cambria"/>
      <w:sz w:val="22"/>
      <w:szCs w:val="22"/>
      <w:lang w:val="en-US" w:eastAsia="en-US"/>
    </w:rPr>
  </w:style>
  <w:style w:type="paragraph" w:customStyle="1" w:styleId="TableParagraph">
    <w:name w:val="Table Paragraph"/>
    <w:basedOn w:val="Normal"/>
    <w:uiPriority w:val="1"/>
    <w:qFormat/>
    <w:rsid w:val="008C6C51"/>
    <w:pPr>
      <w:widowControl w:val="0"/>
      <w:suppressAutoHyphens w:val="0"/>
      <w:autoSpaceDE w:val="0"/>
      <w:autoSpaceDN w:val="0"/>
      <w:spacing w:line="240" w:lineRule="auto"/>
      <w:ind w:leftChars="0" w:left="0" w:firstLineChars="0" w:firstLine="0"/>
      <w:jc w:val="left"/>
      <w:textDirection w:val="lrTb"/>
      <w:textAlignment w:val="auto"/>
      <w:outlineLvl w:val="9"/>
    </w:pPr>
    <w:rPr>
      <w:rFonts w:ascii="Cambria" w:eastAsia="Cambria" w:hAnsi="Cambria" w:cs="Cambria"/>
      <w:position w:val="0"/>
      <w:sz w:val="22"/>
    </w:rPr>
  </w:style>
  <w:style w:type="table" w:styleId="PlainTable2">
    <w:name w:val="Plain Table 2"/>
    <w:basedOn w:val="TableNormal"/>
    <w:uiPriority w:val="42"/>
    <w:rsid w:val="00B36957"/>
    <w:rPr>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23D57"/>
    <w:pPr>
      <w:jc w:val="left"/>
    </w:pPr>
    <w:rPr>
      <w:rFonts w:asciiTheme="minorHAnsi" w:eastAsiaTheme="minorHAnsi" w:hAnsiTheme="minorHAnsi" w:cstheme="minorBidi"/>
      <w:sz w:val="22"/>
      <w:szCs w:val="22"/>
      <w:lang w:val="id-ID" w:eastAsia="en-US"/>
    </w:rPr>
  </w:style>
  <w:style w:type="character" w:customStyle="1" w:styleId="EndNoteBibliographyTitleChar">
    <w:name w:val="EndNote Bibliography Title Char"/>
    <w:basedOn w:val="DefaultParagraphFont"/>
    <w:link w:val="EndNoteBibliographyTitle"/>
    <w:locked/>
    <w:rsid w:val="00423D57"/>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423D57"/>
    <w:pPr>
      <w:suppressAutoHyphens w:val="0"/>
      <w:spacing w:line="256" w:lineRule="auto"/>
      <w:ind w:leftChars="0" w:left="0" w:firstLineChars="0" w:firstLine="0"/>
      <w:textDirection w:val="lrTb"/>
      <w:textAlignment w:val="auto"/>
      <w:outlineLvl w:val="9"/>
    </w:pPr>
    <w:rPr>
      <w:rFonts w:ascii="Times New Roman" w:hAnsi="Times New Roman" w:cs="Times New Roman"/>
      <w:noProof/>
      <w:position w:val="0"/>
      <w:sz w:val="24"/>
      <w:szCs w:val="20"/>
      <w:lang w:val="en-ID" w:eastAsia="en-ID"/>
    </w:rPr>
  </w:style>
  <w:style w:type="character" w:customStyle="1" w:styleId="EndNoteBibliographyChar">
    <w:name w:val="EndNote Bibliography Char"/>
    <w:basedOn w:val="DefaultParagraphFont"/>
    <w:link w:val="EndNoteBibliography"/>
    <w:locked/>
    <w:rsid w:val="00423D57"/>
    <w:rPr>
      <w:rFonts w:ascii="Times New Roman" w:hAnsi="Times New Roman" w:cs="Times New Roman"/>
      <w:noProof/>
      <w:sz w:val="24"/>
    </w:rPr>
  </w:style>
  <w:style w:type="paragraph" w:customStyle="1" w:styleId="EndNoteBibliography">
    <w:name w:val="EndNote Bibliography"/>
    <w:basedOn w:val="Normal"/>
    <w:link w:val="EndNoteBibliographyChar"/>
    <w:rsid w:val="00423D57"/>
    <w:pPr>
      <w:suppressAutoHyphens w:val="0"/>
      <w:spacing w:after="160" w:line="240" w:lineRule="auto"/>
      <w:ind w:leftChars="0" w:left="0" w:firstLineChars="0" w:firstLine="0"/>
      <w:jc w:val="both"/>
      <w:textDirection w:val="lrTb"/>
      <w:textAlignment w:val="auto"/>
      <w:outlineLvl w:val="9"/>
    </w:pPr>
    <w:rPr>
      <w:rFonts w:ascii="Times New Roman" w:hAnsi="Times New Roman" w:cs="Times New Roman"/>
      <w:noProof/>
      <w:position w:val="0"/>
      <w:sz w:val="24"/>
      <w:szCs w:val="20"/>
      <w:lang w:val="en-ID" w:eastAsia="en-ID"/>
    </w:rPr>
  </w:style>
  <w:style w:type="character" w:customStyle="1" w:styleId="UnresolvedMention2">
    <w:name w:val="Unresolved Mention2"/>
    <w:basedOn w:val="DefaultParagraphFont"/>
    <w:uiPriority w:val="99"/>
    <w:semiHidden/>
    <w:unhideWhenUsed/>
    <w:rsid w:val="00694710"/>
    <w:rPr>
      <w:color w:val="605E5C"/>
      <w:shd w:val="clear" w:color="auto" w:fill="E1DFDD"/>
    </w:rPr>
  </w:style>
  <w:style w:type="character" w:customStyle="1" w:styleId="UnresolvedMention3">
    <w:name w:val="Unresolved Mention3"/>
    <w:basedOn w:val="DefaultParagraphFont"/>
    <w:uiPriority w:val="99"/>
    <w:semiHidden/>
    <w:unhideWhenUsed/>
    <w:rsid w:val="0050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0413">
      <w:bodyDiv w:val="1"/>
      <w:marLeft w:val="0"/>
      <w:marRight w:val="0"/>
      <w:marTop w:val="0"/>
      <w:marBottom w:val="0"/>
      <w:divBdr>
        <w:top w:val="none" w:sz="0" w:space="0" w:color="auto"/>
        <w:left w:val="none" w:sz="0" w:space="0" w:color="auto"/>
        <w:bottom w:val="none" w:sz="0" w:space="0" w:color="auto"/>
        <w:right w:val="none" w:sz="0" w:space="0" w:color="auto"/>
      </w:divBdr>
    </w:div>
    <w:div w:id="22248584">
      <w:bodyDiv w:val="1"/>
      <w:marLeft w:val="0"/>
      <w:marRight w:val="0"/>
      <w:marTop w:val="0"/>
      <w:marBottom w:val="0"/>
      <w:divBdr>
        <w:top w:val="none" w:sz="0" w:space="0" w:color="auto"/>
        <w:left w:val="none" w:sz="0" w:space="0" w:color="auto"/>
        <w:bottom w:val="none" w:sz="0" w:space="0" w:color="auto"/>
        <w:right w:val="none" w:sz="0" w:space="0" w:color="auto"/>
      </w:divBdr>
    </w:div>
    <w:div w:id="60255809">
      <w:bodyDiv w:val="1"/>
      <w:marLeft w:val="0"/>
      <w:marRight w:val="0"/>
      <w:marTop w:val="0"/>
      <w:marBottom w:val="0"/>
      <w:divBdr>
        <w:top w:val="none" w:sz="0" w:space="0" w:color="auto"/>
        <w:left w:val="none" w:sz="0" w:space="0" w:color="auto"/>
        <w:bottom w:val="none" w:sz="0" w:space="0" w:color="auto"/>
        <w:right w:val="none" w:sz="0" w:space="0" w:color="auto"/>
      </w:divBdr>
    </w:div>
    <w:div w:id="66072297">
      <w:bodyDiv w:val="1"/>
      <w:marLeft w:val="0"/>
      <w:marRight w:val="0"/>
      <w:marTop w:val="0"/>
      <w:marBottom w:val="0"/>
      <w:divBdr>
        <w:top w:val="none" w:sz="0" w:space="0" w:color="auto"/>
        <w:left w:val="none" w:sz="0" w:space="0" w:color="auto"/>
        <w:bottom w:val="none" w:sz="0" w:space="0" w:color="auto"/>
        <w:right w:val="none" w:sz="0" w:space="0" w:color="auto"/>
      </w:divBdr>
    </w:div>
    <w:div w:id="81225464">
      <w:bodyDiv w:val="1"/>
      <w:marLeft w:val="0"/>
      <w:marRight w:val="0"/>
      <w:marTop w:val="0"/>
      <w:marBottom w:val="0"/>
      <w:divBdr>
        <w:top w:val="none" w:sz="0" w:space="0" w:color="auto"/>
        <w:left w:val="none" w:sz="0" w:space="0" w:color="auto"/>
        <w:bottom w:val="none" w:sz="0" w:space="0" w:color="auto"/>
        <w:right w:val="none" w:sz="0" w:space="0" w:color="auto"/>
      </w:divBdr>
    </w:div>
    <w:div w:id="123082303">
      <w:bodyDiv w:val="1"/>
      <w:marLeft w:val="0"/>
      <w:marRight w:val="0"/>
      <w:marTop w:val="0"/>
      <w:marBottom w:val="0"/>
      <w:divBdr>
        <w:top w:val="none" w:sz="0" w:space="0" w:color="auto"/>
        <w:left w:val="none" w:sz="0" w:space="0" w:color="auto"/>
        <w:bottom w:val="none" w:sz="0" w:space="0" w:color="auto"/>
        <w:right w:val="none" w:sz="0" w:space="0" w:color="auto"/>
      </w:divBdr>
    </w:div>
    <w:div w:id="134880121">
      <w:bodyDiv w:val="1"/>
      <w:marLeft w:val="0"/>
      <w:marRight w:val="0"/>
      <w:marTop w:val="0"/>
      <w:marBottom w:val="0"/>
      <w:divBdr>
        <w:top w:val="none" w:sz="0" w:space="0" w:color="auto"/>
        <w:left w:val="none" w:sz="0" w:space="0" w:color="auto"/>
        <w:bottom w:val="none" w:sz="0" w:space="0" w:color="auto"/>
        <w:right w:val="none" w:sz="0" w:space="0" w:color="auto"/>
      </w:divBdr>
    </w:div>
    <w:div w:id="135538165">
      <w:bodyDiv w:val="1"/>
      <w:marLeft w:val="0"/>
      <w:marRight w:val="0"/>
      <w:marTop w:val="0"/>
      <w:marBottom w:val="0"/>
      <w:divBdr>
        <w:top w:val="none" w:sz="0" w:space="0" w:color="auto"/>
        <w:left w:val="none" w:sz="0" w:space="0" w:color="auto"/>
        <w:bottom w:val="none" w:sz="0" w:space="0" w:color="auto"/>
        <w:right w:val="none" w:sz="0" w:space="0" w:color="auto"/>
      </w:divBdr>
    </w:div>
    <w:div w:id="144510257">
      <w:bodyDiv w:val="1"/>
      <w:marLeft w:val="0"/>
      <w:marRight w:val="0"/>
      <w:marTop w:val="0"/>
      <w:marBottom w:val="0"/>
      <w:divBdr>
        <w:top w:val="none" w:sz="0" w:space="0" w:color="auto"/>
        <w:left w:val="none" w:sz="0" w:space="0" w:color="auto"/>
        <w:bottom w:val="none" w:sz="0" w:space="0" w:color="auto"/>
        <w:right w:val="none" w:sz="0" w:space="0" w:color="auto"/>
      </w:divBdr>
    </w:div>
    <w:div w:id="147865580">
      <w:bodyDiv w:val="1"/>
      <w:marLeft w:val="0"/>
      <w:marRight w:val="0"/>
      <w:marTop w:val="0"/>
      <w:marBottom w:val="0"/>
      <w:divBdr>
        <w:top w:val="none" w:sz="0" w:space="0" w:color="auto"/>
        <w:left w:val="none" w:sz="0" w:space="0" w:color="auto"/>
        <w:bottom w:val="none" w:sz="0" w:space="0" w:color="auto"/>
        <w:right w:val="none" w:sz="0" w:space="0" w:color="auto"/>
      </w:divBdr>
    </w:div>
    <w:div w:id="164975537">
      <w:bodyDiv w:val="1"/>
      <w:marLeft w:val="0"/>
      <w:marRight w:val="0"/>
      <w:marTop w:val="0"/>
      <w:marBottom w:val="0"/>
      <w:divBdr>
        <w:top w:val="none" w:sz="0" w:space="0" w:color="auto"/>
        <w:left w:val="none" w:sz="0" w:space="0" w:color="auto"/>
        <w:bottom w:val="none" w:sz="0" w:space="0" w:color="auto"/>
        <w:right w:val="none" w:sz="0" w:space="0" w:color="auto"/>
      </w:divBdr>
    </w:div>
    <w:div w:id="171989661">
      <w:bodyDiv w:val="1"/>
      <w:marLeft w:val="0"/>
      <w:marRight w:val="0"/>
      <w:marTop w:val="0"/>
      <w:marBottom w:val="0"/>
      <w:divBdr>
        <w:top w:val="none" w:sz="0" w:space="0" w:color="auto"/>
        <w:left w:val="none" w:sz="0" w:space="0" w:color="auto"/>
        <w:bottom w:val="none" w:sz="0" w:space="0" w:color="auto"/>
        <w:right w:val="none" w:sz="0" w:space="0" w:color="auto"/>
      </w:divBdr>
    </w:div>
    <w:div w:id="209346697">
      <w:bodyDiv w:val="1"/>
      <w:marLeft w:val="0"/>
      <w:marRight w:val="0"/>
      <w:marTop w:val="0"/>
      <w:marBottom w:val="0"/>
      <w:divBdr>
        <w:top w:val="none" w:sz="0" w:space="0" w:color="auto"/>
        <w:left w:val="none" w:sz="0" w:space="0" w:color="auto"/>
        <w:bottom w:val="none" w:sz="0" w:space="0" w:color="auto"/>
        <w:right w:val="none" w:sz="0" w:space="0" w:color="auto"/>
      </w:divBdr>
    </w:div>
    <w:div w:id="239415749">
      <w:bodyDiv w:val="1"/>
      <w:marLeft w:val="0"/>
      <w:marRight w:val="0"/>
      <w:marTop w:val="0"/>
      <w:marBottom w:val="0"/>
      <w:divBdr>
        <w:top w:val="none" w:sz="0" w:space="0" w:color="auto"/>
        <w:left w:val="none" w:sz="0" w:space="0" w:color="auto"/>
        <w:bottom w:val="none" w:sz="0" w:space="0" w:color="auto"/>
        <w:right w:val="none" w:sz="0" w:space="0" w:color="auto"/>
      </w:divBdr>
    </w:div>
    <w:div w:id="244387892">
      <w:bodyDiv w:val="1"/>
      <w:marLeft w:val="0"/>
      <w:marRight w:val="0"/>
      <w:marTop w:val="0"/>
      <w:marBottom w:val="0"/>
      <w:divBdr>
        <w:top w:val="none" w:sz="0" w:space="0" w:color="auto"/>
        <w:left w:val="none" w:sz="0" w:space="0" w:color="auto"/>
        <w:bottom w:val="none" w:sz="0" w:space="0" w:color="auto"/>
        <w:right w:val="none" w:sz="0" w:space="0" w:color="auto"/>
      </w:divBdr>
    </w:div>
    <w:div w:id="274479510">
      <w:bodyDiv w:val="1"/>
      <w:marLeft w:val="0"/>
      <w:marRight w:val="0"/>
      <w:marTop w:val="0"/>
      <w:marBottom w:val="0"/>
      <w:divBdr>
        <w:top w:val="none" w:sz="0" w:space="0" w:color="auto"/>
        <w:left w:val="none" w:sz="0" w:space="0" w:color="auto"/>
        <w:bottom w:val="none" w:sz="0" w:space="0" w:color="auto"/>
        <w:right w:val="none" w:sz="0" w:space="0" w:color="auto"/>
      </w:divBdr>
    </w:div>
    <w:div w:id="292441998">
      <w:bodyDiv w:val="1"/>
      <w:marLeft w:val="0"/>
      <w:marRight w:val="0"/>
      <w:marTop w:val="0"/>
      <w:marBottom w:val="0"/>
      <w:divBdr>
        <w:top w:val="none" w:sz="0" w:space="0" w:color="auto"/>
        <w:left w:val="none" w:sz="0" w:space="0" w:color="auto"/>
        <w:bottom w:val="none" w:sz="0" w:space="0" w:color="auto"/>
        <w:right w:val="none" w:sz="0" w:space="0" w:color="auto"/>
      </w:divBdr>
    </w:div>
    <w:div w:id="302541973">
      <w:bodyDiv w:val="1"/>
      <w:marLeft w:val="0"/>
      <w:marRight w:val="0"/>
      <w:marTop w:val="0"/>
      <w:marBottom w:val="0"/>
      <w:divBdr>
        <w:top w:val="none" w:sz="0" w:space="0" w:color="auto"/>
        <w:left w:val="none" w:sz="0" w:space="0" w:color="auto"/>
        <w:bottom w:val="none" w:sz="0" w:space="0" w:color="auto"/>
        <w:right w:val="none" w:sz="0" w:space="0" w:color="auto"/>
      </w:divBdr>
    </w:div>
    <w:div w:id="347953365">
      <w:bodyDiv w:val="1"/>
      <w:marLeft w:val="0"/>
      <w:marRight w:val="0"/>
      <w:marTop w:val="0"/>
      <w:marBottom w:val="0"/>
      <w:divBdr>
        <w:top w:val="none" w:sz="0" w:space="0" w:color="auto"/>
        <w:left w:val="none" w:sz="0" w:space="0" w:color="auto"/>
        <w:bottom w:val="none" w:sz="0" w:space="0" w:color="auto"/>
        <w:right w:val="none" w:sz="0" w:space="0" w:color="auto"/>
      </w:divBdr>
    </w:div>
    <w:div w:id="368382119">
      <w:bodyDiv w:val="1"/>
      <w:marLeft w:val="0"/>
      <w:marRight w:val="0"/>
      <w:marTop w:val="0"/>
      <w:marBottom w:val="0"/>
      <w:divBdr>
        <w:top w:val="none" w:sz="0" w:space="0" w:color="auto"/>
        <w:left w:val="none" w:sz="0" w:space="0" w:color="auto"/>
        <w:bottom w:val="none" w:sz="0" w:space="0" w:color="auto"/>
        <w:right w:val="none" w:sz="0" w:space="0" w:color="auto"/>
      </w:divBdr>
    </w:div>
    <w:div w:id="377511168">
      <w:bodyDiv w:val="1"/>
      <w:marLeft w:val="0"/>
      <w:marRight w:val="0"/>
      <w:marTop w:val="0"/>
      <w:marBottom w:val="0"/>
      <w:divBdr>
        <w:top w:val="none" w:sz="0" w:space="0" w:color="auto"/>
        <w:left w:val="none" w:sz="0" w:space="0" w:color="auto"/>
        <w:bottom w:val="none" w:sz="0" w:space="0" w:color="auto"/>
        <w:right w:val="none" w:sz="0" w:space="0" w:color="auto"/>
      </w:divBdr>
    </w:div>
    <w:div w:id="455023079">
      <w:bodyDiv w:val="1"/>
      <w:marLeft w:val="0"/>
      <w:marRight w:val="0"/>
      <w:marTop w:val="0"/>
      <w:marBottom w:val="0"/>
      <w:divBdr>
        <w:top w:val="none" w:sz="0" w:space="0" w:color="auto"/>
        <w:left w:val="none" w:sz="0" w:space="0" w:color="auto"/>
        <w:bottom w:val="none" w:sz="0" w:space="0" w:color="auto"/>
        <w:right w:val="none" w:sz="0" w:space="0" w:color="auto"/>
      </w:divBdr>
    </w:div>
    <w:div w:id="461389075">
      <w:bodyDiv w:val="1"/>
      <w:marLeft w:val="0"/>
      <w:marRight w:val="0"/>
      <w:marTop w:val="0"/>
      <w:marBottom w:val="0"/>
      <w:divBdr>
        <w:top w:val="none" w:sz="0" w:space="0" w:color="auto"/>
        <w:left w:val="none" w:sz="0" w:space="0" w:color="auto"/>
        <w:bottom w:val="none" w:sz="0" w:space="0" w:color="auto"/>
        <w:right w:val="none" w:sz="0" w:space="0" w:color="auto"/>
      </w:divBdr>
    </w:div>
    <w:div w:id="471754501">
      <w:bodyDiv w:val="1"/>
      <w:marLeft w:val="0"/>
      <w:marRight w:val="0"/>
      <w:marTop w:val="0"/>
      <w:marBottom w:val="0"/>
      <w:divBdr>
        <w:top w:val="none" w:sz="0" w:space="0" w:color="auto"/>
        <w:left w:val="none" w:sz="0" w:space="0" w:color="auto"/>
        <w:bottom w:val="none" w:sz="0" w:space="0" w:color="auto"/>
        <w:right w:val="none" w:sz="0" w:space="0" w:color="auto"/>
      </w:divBdr>
    </w:div>
    <w:div w:id="488332865">
      <w:bodyDiv w:val="1"/>
      <w:marLeft w:val="0"/>
      <w:marRight w:val="0"/>
      <w:marTop w:val="0"/>
      <w:marBottom w:val="0"/>
      <w:divBdr>
        <w:top w:val="none" w:sz="0" w:space="0" w:color="auto"/>
        <w:left w:val="none" w:sz="0" w:space="0" w:color="auto"/>
        <w:bottom w:val="none" w:sz="0" w:space="0" w:color="auto"/>
        <w:right w:val="none" w:sz="0" w:space="0" w:color="auto"/>
      </w:divBdr>
    </w:div>
    <w:div w:id="520632177">
      <w:bodyDiv w:val="1"/>
      <w:marLeft w:val="0"/>
      <w:marRight w:val="0"/>
      <w:marTop w:val="0"/>
      <w:marBottom w:val="0"/>
      <w:divBdr>
        <w:top w:val="none" w:sz="0" w:space="0" w:color="auto"/>
        <w:left w:val="none" w:sz="0" w:space="0" w:color="auto"/>
        <w:bottom w:val="none" w:sz="0" w:space="0" w:color="auto"/>
        <w:right w:val="none" w:sz="0" w:space="0" w:color="auto"/>
      </w:divBdr>
    </w:div>
    <w:div w:id="523324746">
      <w:bodyDiv w:val="1"/>
      <w:marLeft w:val="0"/>
      <w:marRight w:val="0"/>
      <w:marTop w:val="0"/>
      <w:marBottom w:val="0"/>
      <w:divBdr>
        <w:top w:val="none" w:sz="0" w:space="0" w:color="auto"/>
        <w:left w:val="none" w:sz="0" w:space="0" w:color="auto"/>
        <w:bottom w:val="none" w:sz="0" w:space="0" w:color="auto"/>
        <w:right w:val="none" w:sz="0" w:space="0" w:color="auto"/>
      </w:divBdr>
    </w:div>
    <w:div w:id="591864288">
      <w:bodyDiv w:val="1"/>
      <w:marLeft w:val="0"/>
      <w:marRight w:val="0"/>
      <w:marTop w:val="0"/>
      <w:marBottom w:val="0"/>
      <w:divBdr>
        <w:top w:val="none" w:sz="0" w:space="0" w:color="auto"/>
        <w:left w:val="none" w:sz="0" w:space="0" w:color="auto"/>
        <w:bottom w:val="none" w:sz="0" w:space="0" w:color="auto"/>
        <w:right w:val="none" w:sz="0" w:space="0" w:color="auto"/>
      </w:divBdr>
    </w:div>
    <w:div w:id="598760177">
      <w:bodyDiv w:val="1"/>
      <w:marLeft w:val="0"/>
      <w:marRight w:val="0"/>
      <w:marTop w:val="0"/>
      <w:marBottom w:val="0"/>
      <w:divBdr>
        <w:top w:val="none" w:sz="0" w:space="0" w:color="auto"/>
        <w:left w:val="none" w:sz="0" w:space="0" w:color="auto"/>
        <w:bottom w:val="none" w:sz="0" w:space="0" w:color="auto"/>
        <w:right w:val="none" w:sz="0" w:space="0" w:color="auto"/>
      </w:divBdr>
    </w:div>
    <w:div w:id="650520375">
      <w:bodyDiv w:val="1"/>
      <w:marLeft w:val="0"/>
      <w:marRight w:val="0"/>
      <w:marTop w:val="0"/>
      <w:marBottom w:val="0"/>
      <w:divBdr>
        <w:top w:val="none" w:sz="0" w:space="0" w:color="auto"/>
        <w:left w:val="none" w:sz="0" w:space="0" w:color="auto"/>
        <w:bottom w:val="none" w:sz="0" w:space="0" w:color="auto"/>
        <w:right w:val="none" w:sz="0" w:space="0" w:color="auto"/>
      </w:divBdr>
    </w:div>
    <w:div w:id="673722801">
      <w:bodyDiv w:val="1"/>
      <w:marLeft w:val="0"/>
      <w:marRight w:val="0"/>
      <w:marTop w:val="0"/>
      <w:marBottom w:val="0"/>
      <w:divBdr>
        <w:top w:val="none" w:sz="0" w:space="0" w:color="auto"/>
        <w:left w:val="none" w:sz="0" w:space="0" w:color="auto"/>
        <w:bottom w:val="none" w:sz="0" w:space="0" w:color="auto"/>
        <w:right w:val="none" w:sz="0" w:space="0" w:color="auto"/>
      </w:divBdr>
    </w:div>
    <w:div w:id="743602015">
      <w:bodyDiv w:val="1"/>
      <w:marLeft w:val="0"/>
      <w:marRight w:val="0"/>
      <w:marTop w:val="0"/>
      <w:marBottom w:val="0"/>
      <w:divBdr>
        <w:top w:val="none" w:sz="0" w:space="0" w:color="auto"/>
        <w:left w:val="none" w:sz="0" w:space="0" w:color="auto"/>
        <w:bottom w:val="none" w:sz="0" w:space="0" w:color="auto"/>
        <w:right w:val="none" w:sz="0" w:space="0" w:color="auto"/>
      </w:divBdr>
    </w:div>
    <w:div w:id="799155600">
      <w:bodyDiv w:val="1"/>
      <w:marLeft w:val="0"/>
      <w:marRight w:val="0"/>
      <w:marTop w:val="0"/>
      <w:marBottom w:val="0"/>
      <w:divBdr>
        <w:top w:val="none" w:sz="0" w:space="0" w:color="auto"/>
        <w:left w:val="none" w:sz="0" w:space="0" w:color="auto"/>
        <w:bottom w:val="none" w:sz="0" w:space="0" w:color="auto"/>
        <w:right w:val="none" w:sz="0" w:space="0" w:color="auto"/>
      </w:divBdr>
    </w:div>
    <w:div w:id="869759111">
      <w:bodyDiv w:val="1"/>
      <w:marLeft w:val="0"/>
      <w:marRight w:val="0"/>
      <w:marTop w:val="0"/>
      <w:marBottom w:val="0"/>
      <w:divBdr>
        <w:top w:val="none" w:sz="0" w:space="0" w:color="auto"/>
        <w:left w:val="none" w:sz="0" w:space="0" w:color="auto"/>
        <w:bottom w:val="none" w:sz="0" w:space="0" w:color="auto"/>
        <w:right w:val="none" w:sz="0" w:space="0" w:color="auto"/>
      </w:divBdr>
    </w:div>
    <w:div w:id="883370180">
      <w:bodyDiv w:val="1"/>
      <w:marLeft w:val="0"/>
      <w:marRight w:val="0"/>
      <w:marTop w:val="0"/>
      <w:marBottom w:val="0"/>
      <w:divBdr>
        <w:top w:val="none" w:sz="0" w:space="0" w:color="auto"/>
        <w:left w:val="none" w:sz="0" w:space="0" w:color="auto"/>
        <w:bottom w:val="none" w:sz="0" w:space="0" w:color="auto"/>
        <w:right w:val="none" w:sz="0" w:space="0" w:color="auto"/>
      </w:divBdr>
    </w:div>
    <w:div w:id="1006857362">
      <w:bodyDiv w:val="1"/>
      <w:marLeft w:val="0"/>
      <w:marRight w:val="0"/>
      <w:marTop w:val="0"/>
      <w:marBottom w:val="0"/>
      <w:divBdr>
        <w:top w:val="none" w:sz="0" w:space="0" w:color="auto"/>
        <w:left w:val="none" w:sz="0" w:space="0" w:color="auto"/>
        <w:bottom w:val="none" w:sz="0" w:space="0" w:color="auto"/>
        <w:right w:val="none" w:sz="0" w:space="0" w:color="auto"/>
      </w:divBdr>
    </w:div>
    <w:div w:id="1056899084">
      <w:bodyDiv w:val="1"/>
      <w:marLeft w:val="0"/>
      <w:marRight w:val="0"/>
      <w:marTop w:val="0"/>
      <w:marBottom w:val="0"/>
      <w:divBdr>
        <w:top w:val="none" w:sz="0" w:space="0" w:color="auto"/>
        <w:left w:val="none" w:sz="0" w:space="0" w:color="auto"/>
        <w:bottom w:val="none" w:sz="0" w:space="0" w:color="auto"/>
        <w:right w:val="none" w:sz="0" w:space="0" w:color="auto"/>
      </w:divBdr>
    </w:div>
    <w:div w:id="1080178466">
      <w:bodyDiv w:val="1"/>
      <w:marLeft w:val="0"/>
      <w:marRight w:val="0"/>
      <w:marTop w:val="0"/>
      <w:marBottom w:val="0"/>
      <w:divBdr>
        <w:top w:val="none" w:sz="0" w:space="0" w:color="auto"/>
        <w:left w:val="none" w:sz="0" w:space="0" w:color="auto"/>
        <w:bottom w:val="none" w:sz="0" w:space="0" w:color="auto"/>
        <w:right w:val="none" w:sz="0" w:space="0" w:color="auto"/>
      </w:divBdr>
    </w:div>
    <w:div w:id="1146168928">
      <w:bodyDiv w:val="1"/>
      <w:marLeft w:val="0"/>
      <w:marRight w:val="0"/>
      <w:marTop w:val="0"/>
      <w:marBottom w:val="0"/>
      <w:divBdr>
        <w:top w:val="none" w:sz="0" w:space="0" w:color="auto"/>
        <w:left w:val="none" w:sz="0" w:space="0" w:color="auto"/>
        <w:bottom w:val="none" w:sz="0" w:space="0" w:color="auto"/>
        <w:right w:val="none" w:sz="0" w:space="0" w:color="auto"/>
      </w:divBdr>
    </w:div>
    <w:div w:id="1175993579">
      <w:bodyDiv w:val="1"/>
      <w:marLeft w:val="0"/>
      <w:marRight w:val="0"/>
      <w:marTop w:val="0"/>
      <w:marBottom w:val="0"/>
      <w:divBdr>
        <w:top w:val="none" w:sz="0" w:space="0" w:color="auto"/>
        <w:left w:val="none" w:sz="0" w:space="0" w:color="auto"/>
        <w:bottom w:val="none" w:sz="0" w:space="0" w:color="auto"/>
        <w:right w:val="none" w:sz="0" w:space="0" w:color="auto"/>
      </w:divBdr>
    </w:div>
    <w:div w:id="1180971629">
      <w:bodyDiv w:val="1"/>
      <w:marLeft w:val="0"/>
      <w:marRight w:val="0"/>
      <w:marTop w:val="0"/>
      <w:marBottom w:val="0"/>
      <w:divBdr>
        <w:top w:val="none" w:sz="0" w:space="0" w:color="auto"/>
        <w:left w:val="none" w:sz="0" w:space="0" w:color="auto"/>
        <w:bottom w:val="none" w:sz="0" w:space="0" w:color="auto"/>
        <w:right w:val="none" w:sz="0" w:space="0" w:color="auto"/>
      </w:divBdr>
    </w:div>
    <w:div w:id="1183202713">
      <w:bodyDiv w:val="1"/>
      <w:marLeft w:val="0"/>
      <w:marRight w:val="0"/>
      <w:marTop w:val="0"/>
      <w:marBottom w:val="0"/>
      <w:divBdr>
        <w:top w:val="none" w:sz="0" w:space="0" w:color="auto"/>
        <w:left w:val="none" w:sz="0" w:space="0" w:color="auto"/>
        <w:bottom w:val="none" w:sz="0" w:space="0" w:color="auto"/>
        <w:right w:val="none" w:sz="0" w:space="0" w:color="auto"/>
      </w:divBdr>
    </w:div>
    <w:div w:id="1186559586">
      <w:bodyDiv w:val="1"/>
      <w:marLeft w:val="0"/>
      <w:marRight w:val="0"/>
      <w:marTop w:val="0"/>
      <w:marBottom w:val="0"/>
      <w:divBdr>
        <w:top w:val="none" w:sz="0" w:space="0" w:color="auto"/>
        <w:left w:val="none" w:sz="0" w:space="0" w:color="auto"/>
        <w:bottom w:val="none" w:sz="0" w:space="0" w:color="auto"/>
        <w:right w:val="none" w:sz="0" w:space="0" w:color="auto"/>
      </w:divBdr>
    </w:div>
    <w:div w:id="1219324184">
      <w:bodyDiv w:val="1"/>
      <w:marLeft w:val="0"/>
      <w:marRight w:val="0"/>
      <w:marTop w:val="0"/>
      <w:marBottom w:val="0"/>
      <w:divBdr>
        <w:top w:val="none" w:sz="0" w:space="0" w:color="auto"/>
        <w:left w:val="none" w:sz="0" w:space="0" w:color="auto"/>
        <w:bottom w:val="none" w:sz="0" w:space="0" w:color="auto"/>
        <w:right w:val="none" w:sz="0" w:space="0" w:color="auto"/>
      </w:divBdr>
    </w:div>
    <w:div w:id="1221408073">
      <w:bodyDiv w:val="1"/>
      <w:marLeft w:val="0"/>
      <w:marRight w:val="0"/>
      <w:marTop w:val="0"/>
      <w:marBottom w:val="0"/>
      <w:divBdr>
        <w:top w:val="none" w:sz="0" w:space="0" w:color="auto"/>
        <w:left w:val="none" w:sz="0" w:space="0" w:color="auto"/>
        <w:bottom w:val="none" w:sz="0" w:space="0" w:color="auto"/>
        <w:right w:val="none" w:sz="0" w:space="0" w:color="auto"/>
      </w:divBdr>
    </w:div>
    <w:div w:id="1244412748">
      <w:bodyDiv w:val="1"/>
      <w:marLeft w:val="0"/>
      <w:marRight w:val="0"/>
      <w:marTop w:val="0"/>
      <w:marBottom w:val="0"/>
      <w:divBdr>
        <w:top w:val="none" w:sz="0" w:space="0" w:color="auto"/>
        <w:left w:val="none" w:sz="0" w:space="0" w:color="auto"/>
        <w:bottom w:val="none" w:sz="0" w:space="0" w:color="auto"/>
        <w:right w:val="none" w:sz="0" w:space="0" w:color="auto"/>
      </w:divBdr>
    </w:div>
    <w:div w:id="1257833293">
      <w:bodyDiv w:val="1"/>
      <w:marLeft w:val="0"/>
      <w:marRight w:val="0"/>
      <w:marTop w:val="0"/>
      <w:marBottom w:val="0"/>
      <w:divBdr>
        <w:top w:val="none" w:sz="0" w:space="0" w:color="auto"/>
        <w:left w:val="none" w:sz="0" w:space="0" w:color="auto"/>
        <w:bottom w:val="none" w:sz="0" w:space="0" w:color="auto"/>
        <w:right w:val="none" w:sz="0" w:space="0" w:color="auto"/>
      </w:divBdr>
    </w:div>
    <w:div w:id="1271398650">
      <w:bodyDiv w:val="1"/>
      <w:marLeft w:val="0"/>
      <w:marRight w:val="0"/>
      <w:marTop w:val="0"/>
      <w:marBottom w:val="0"/>
      <w:divBdr>
        <w:top w:val="none" w:sz="0" w:space="0" w:color="auto"/>
        <w:left w:val="none" w:sz="0" w:space="0" w:color="auto"/>
        <w:bottom w:val="none" w:sz="0" w:space="0" w:color="auto"/>
        <w:right w:val="none" w:sz="0" w:space="0" w:color="auto"/>
      </w:divBdr>
    </w:div>
    <w:div w:id="1289897745">
      <w:bodyDiv w:val="1"/>
      <w:marLeft w:val="0"/>
      <w:marRight w:val="0"/>
      <w:marTop w:val="0"/>
      <w:marBottom w:val="0"/>
      <w:divBdr>
        <w:top w:val="none" w:sz="0" w:space="0" w:color="auto"/>
        <w:left w:val="none" w:sz="0" w:space="0" w:color="auto"/>
        <w:bottom w:val="none" w:sz="0" w:space="0" w:color="auto"/>
        <w:right w:val="none" w:sz="0" w:space="0" w:color="auto"/>
      </w:divBdr>
    </w:div>
    <w:div w:id="1290555092">
      <w:bodyDiv w:val="1"/>
      <w:marLeft w:val="0"/>
      <w:marRight w:val="0"/>
      <w:marTop w:val="0"/>
      <w:marBottom w:val="0"/>
      <w:divBdr>
        <w:top w:val="none" w:sz="0" w:space="0" w:color="auto"/>
        <w:left w:val="none" w:sz="0" w:space="0" w:color="auto"/>
        <w:bottom w:val="none" w:sz="0" w:space="0" w:color="auto"/>
        <w:right w:val="none" w:sz="0" w:space="0" w:color="auto"/>
      </w:divBdr>
    </w:div>
    <w:div w:id="1296569209">
      <w:bodyDiv w:val="1"/>
      <w:marLeft w:val="0"/>
      <w:marRight w:val="0"/>
      <w:marTop w:val="0"/>
      <w:marBottom w:val="0"/>
      <w:divBdr>
        <w:top w:val="none" w:sz="0" w:space="0" w:color="auto"/>
        <w:left w:val="none" w:sz="0" w:space="0" w:color="auto"/>
        <w:bottom w:val="none" w:sz="0" w:space="0" w:color="auto"/>
        <w:right w:val="none" w:sz="0" w:space="0" w:color="auto"/>
      </w:divBdr>
    </w:div>
    <w:div w:id="1379361239">
      <w:bodyDiv w:val="1"/>
      <w:marLeft w:val="0"/>
      <w:marRight w:val="0"/>
      <w:marTop w:val="0"/>
      <w:marBottom w:val="0"/>
      <w:divBdr>
        <w:top w:val="none" w:sz="0" w:space="0" w:color="auto"/>
        <w:left w:val="none" w:sz="0" w:space="0" w:color="auto"/>
        <w:bottom w:val="none" w:sz="0" w:space="0" w:color="auto"/>
        <w:right w:val="none" w:sz="0" w:space="0" w:color="auto"/>
      </w:divBdr>
    </w:div>
    <w:div w:id="1380713651">
      <w:bodyDiv w:val="1"/>
      <w:marLeft w:val="0"/>
      <w:marRight w:val="0"/>
      <w:marTop w:val="0"/>
      <w:marBottom w:val="0"/>
      <w:divBdr>
        <w:top w:val="none" w:sz="0" w:space="0" w:color="auto"/>
        <w:left w:val="none" w:sz="0" w:space="0" w:color="auto"/>
        <w:bottom w:val="none" w:sz="0" w:space="0" w:color="auto"/>
        <w:right w:val="none" w:sz="0" w:space="0" w:color="auto"/>
      </w:divBdr>
    </w:div>
    <w:div w:id="1384982287">
      <w:bodyDiv w:val="1"/>
      <w:marLeft w:val="0"/>
      <w:marRight w:val="0"/>
      <w:marTop w:val="0"/>
      <w:marBottom w:val="0"/>
      <w:divBdr>
        <w:top w:val="none" w:sz="0" w:space="0" w:color="auto"/>
        <w:left w:val="none" w:sz="0" w:space="0" w:color="auto"/>
        <w:bottom w:val="none" w:sz="0" w:space="0" w:color="auto"/>
        <w:right w:val="none" w:sz="0" w:space="0" w:color="auto"/>
      </w:divBdr>
    </w:div>
    <w:div w:id="1395543044">
      <w:bodyDiv w:val="1"/>
      <w:marLeft w:val="0"/>
      <w:marRight w:val="0"/>
      <w:marTop w:val="0"/>
      <w:marBottom w:val="0"/>
      <w:divBdr>
        <w:top w:val="none" w:sz="0" w:space="0" w:color="auto"/>
        <w:left w:val="none" w:sz="0" w:space="0" w:color="auto"/>
        <w:bottom w:val="none" w:sz="0" w:space="0" w:color="auto"/>
        <w:right w:val="none" w:sz="0" w:space="0" w:color="auto"/>
      </w:divBdr>
    </w:div>
    <w:div w:id="1407453003">
      <w:bodyDiv w:val="1"/>
      <w:marLeft w:val="0"/>
      <w:marRight w:val="0"/>
      <w:marTop w:val="0"/>
      <w:marBottom w:val="0"/>
      <w:divBdr>
        <w:top w:val="none" w:sz="0" w:space="0" w:color="auto"/>
        <w:left w:val="none" w:sz="0" w:space="0" w:color="auto"/>
        <w:bottom w:val="none" w:sz="0" w:space="0" w:color="auto"/>
        <w:right w:val="none" w:sz="0" w:space="0" w:color="auto"/>
      </w:divBdr>
    </w:div>
    <w:div w:id="1416323640">
      <w:bodyDiv w:val="1"/>
      <w:marLeft w:val="0"/>
      <w:marRight w:val="0"/>
      <w:marTop w:val="0"/>
      <w:marBottom w:val="0"/>
      <w:divBdr>
        <w:top w:val="none" w:sz="0" w:space="0" w:color="auto"/>
        <w:left w:val="none" w:sz="0" w:space="0" w:color="auto"/>
        <w:bottom w:val="none" w:sz="0" w:space="0" w:color="auto"/>
        <w:right w:val="none" w:sz="0" w:space="0" w:color="auto"/>
      </w:divBdr>
    </w:div>
    <w:div w:id="1429547491">
      <w:bodyDiv w:val="1"/>
      <w:marLeft w:val="0"/>
      <w:marRight w:val="0"/>
      <w:marTop w:val="0"/>
      <w:marBottom w:val="0"/>
      <w:divBdr>
        <w:top w:val="none" w:sz="0" w:space="0" w:color="auto"/>
        <w:left w:val="none" w:sz="0" w:space="0" w:color="auto"/>
        <w:bottom w:val="none" w:sz="0" w:space="0" w:color="auto"/>
        <w:right w:val="none" w:sz="0" w:space="0" w:color="auto"/>
      </w:divBdr>
    </w:div>
    <w:div w:id="1469545494">
      <w:bodyDiv w:val="1"/>
      <w:marLeft w:val="0"/>
      <w:marRight w:val="0"/>
      <w:marTop w:val="0"/>
      <w:marBottom w:val="0"/>
      <w:divBdr>
        <w:top w:val="none" w:sz="0" w:space="0" w:color="auto"/>
        <w:left w:val="none" w:sz="0" w:space="0" w:color="auto"/>
        <w:bottom w:val="none" w:sz="0" w:space="0" w:color="auto"/>
        <w:right w:val="none" w:sz="0" w:space="0" w:color="auto"/>
      </w:divBdr>
    </w:div>
    <w:div w:id="1473062392">
      <w:bodyDiv w:val="1"/>
      <w:marLeft w:val="0"/>
      <w:marRight w:val="0"/>
      <w:marTop w:val="0"/>
      <w:marBottom w:val="0"/>
      <w:divBdr>
        <w:top w:val="none" w:sz="0" w:space="0" w:color="auto"/>
        <w:left w:val="none" w:sz="0" w:space="0" w:color="auto"/>
        <w:bottom w:val="none" w:sz="0" w:space="0" w:color="auto"/>
        <w:right w:val="none" w:sz="0" w:space="0" w:color="auto"/>
      </w:divBdr>
    </w:div>
    <w:div w:id="1483498193">
      <w:bodyDiv w:val="1"/>
      <w:marLeft w:val="0"/>
      <w:marRight w:val="0"/>
      <w:marTop w:val="0"/>
      <w:marBottom w:val="0"/>
      <w:divBdr>
        <w:top w:val="none" w:sz="0" w:space="0" w:color="auto"/>
        <w:left w:val="none" w:sz="0" w:space="0" w:color="auto"/>
        <w:bottom w:val="none" w:sz="0" w:space="0" w:color="auto"/>
        <w:right w:val="none" w:sz="0" w:space="0" w:color="auto"/>
      </w:divBdr>
    </w:div>
    <w:div w:id="1506243831">
      <w:bodyDiv w:val="1"/>
      <w:marLeft w:val="0"/>
      <w:marRight w:val="0"/>
      <w:marTop w:val="0"/>
      <w:marBottom w:val="0"/>
      <w:divBdr>
        <w:top w:val="none" w:sz="0" w:space="0" w:color="auto"/>
        <w:left w:val="none" w:sz="0" w:space="0" w:color="auto"/>
        <w:bottom w:val="none" w:sz="0" w:space="0" w:color="auto"/>
        <w:right w:val="none" w:sz="0" w:space="0" w:color="auto"/>
      </w:divBdr>
    </w:div>
    <w:div w:id="1512840705">
      <w:bodyDiv w:val="1"/>
      <w:marLeft w:val="0"/>
      <w:marRight w:val="0"/>
      <w:marTop w:val="0"/>
      <w:marBottom w:val="0"/>
      <w:divBdr>
        <w:top w:val="none" w:sz="0" w:space="0" w:color="auto"/>
        <w:left w:val="none" w:sz="0" w:space="0" w:color="auto"/>
        <w:bottom w:val="none" w:sz="0" w:space="0" w:color="auto"/>
        <w:right w:val="none" w:sz="0" w:space="0" w:color="auto"/>
      </w:divBdr>
    </w:div>
    <w:div w:id="1525292606">
      <w:bodyDiv w:val="1"/>
      <w:marLeft w:val="0"/>
      <w:marRight w:val="0"/>
      <w:marTop w:val="0"/>
      <w:marBottom w:val="0"/>
      <w:divBdr>
        <w:top w:val="none" w:sz="0" w:space="0" w:color="auto"/>
        <w:left w:val="none" w:sz="0" w:space="0" w:color="auto"/>
        <w:bottom w:val="none" w:sz="0" w:space="0" w:color="auto"/>
        <w:right w:val="none" w:sz="0" w:space="0" w:color="auto"/>
      </w:divBdr>
    </w:div>
    <w:div w:id="1546215144">
      <w:bodyDiv w:val="1"/>
      <w:marLeft w:val="0"/>
      <w:marRight w:val="0"/>
      <w:marTop w:val="0"/>
      <w:marBottom w:val="0"/>
      <w:divBdr>
        <w:top w:val="none" w:sz="0" w:space="0" w:color="auto"/>
        <w:left w:val="none" w:sz="0" w:space="0" w:color="auto"/>
        <w:bottom w:val="none" w:sz="0" w:space="0" w:color="auto"/>
        <w:right w:val="none" w:sz="0" w:space="0" w:color="auto"/>
      </w:divBdr>
    </w:div>
    <w:div w:id="1565143450">
      <w:bodyDiv w:val="1"/>
      <w:marLeft w:val="0"/>
      <w:marRight w:val="0"/>
      <w:marTop w:val="0"/>
      <w:marBottom w:val="0"/>
      <w:divBdr>
        <w:top w:val="none" w:sz="0" w:space="0" w:color="auto"/>
        <w:left w:val="none" w:sz="0" w:space="0" w:color="auto"/>
        <w:bottom w:val="none" w:sz="0" w:space="0" w:color="auto"/>
        <w:right w:val="none" w:sz="0" w:space="0" w:color="auto"/>
      </w:divBdr>
    </w:div>
    <w:div w:id="1569340692">
      <w:bodyDiv w:val="1"/>
      <w:marLeft w:val="0"/>
      <w:marRight w:val="0"/>
      <w:marTop w:val="0"/>
      <w:marBottom w:val="0"/>
      <w:divBdr>
        <w:top w:val="none" w:sz="0" w:space="0" w:color="auto"/>
        <w:left w:val="none" w:sz="0" w:space="0" w:color="auto"/>
        <w:bottom w:val="none" w:sz="0" w:space="0" w:color="auto"/>
        <w:right w:val="none" w:sz="0" w:space="0" w:color="auto"/>
      </w:divBdr>
    </w:div>
    <w:div w:id="1587347826">
      <w:bodyDiv w:val="1"/>
      <w:marLeft w:val="0"/>
      <w:marRight w:val="0"/>
      <w:marTop w:val="0"/>
      <w:marBottom w:val="0"/>
      <w:divBdr>
        <w:top w:val="none" w:sz="0" w:space="0" w:color="auto"/>
        <w:left w:val="none" w:sz="0" w:space="0" w:color="auto"/>
        <w:bottom w:val="none" w:sz="0" w:space="0" w:color="auto"/>
        <w:right w:val="none" w:sz="0" w:space="0" w:color="auto"/>
      </w:divBdr>
    </w:div>
    <w:div w:id="1593051728">
      <w:bodyDiv w:val="1"/>
      <w:marLeft w:val="0"/>
      <w:marRight w:val="0"/>
      <w:marTop w:val="0"/>
      <w:marBottom w:val="0"/>
      <w:divBdr>
        <w:top w:val="none" w:sz="0" w:space="0" w:color="auto"/>
        <w:left w:val="none" w:sz="0" w:space="0" w:color="auto"/>
        <w:bottom w:val="none" w:sz="0" w:space="0" w:color="auto"/>
        <w:right w:val="none" w:sz="0" w:space="0" w:color="auto"/>
      </w:divBdr>
    </w:div>
    <w:div w:id="1607074085">
      <w:bodyDiv w:val="1"/>
      <w:marLeft w:val="0"/>
      <w:marRight w:val="0"/>
      <w:marTop w:val="0"/>
      <w:marBottom w:val="0"/>
      <w:divBdr>
        <w:top w:val="none" w:sz="0" w:space="0" w:color="auto"/>
        <w:left w:val="none" w:sz="0" w:space="0" w:color="auto"/>
        <w:bottom w:val="none" w:sz="0" w:space="0" w:color="auto"/>
        <w:right w:val="none" w:sz="0" w:space="0" w:color="auto"/>
      </w:divBdr>
    </w:div>
    <w:div w:id="1636985974">
      <w:bodyDiv w:val="1"/>
      <w:marLeft w:val="0"/>
      <w:marRight w:val="0"/>
      <w:marTop w:val="0"/>
      <w:marBottom w:val="0"/>
      <w:divBdr>
        <w:top w:val="none" w:sz="0" w:space="0" w:color="auto"/>
        <w:left w:val="none" w:sz="0" w:space="0" w:color="auto"/>
        <w:bottom w:val="none" w:sz="0" w:space="0" w:color="auto"/>
        <w:right w:val="none" w:sz="0" w:space="0" w:color="auto"/>
      </w:divBdr>
    </w:div>
    <w:div w:id="1655571308">
      <w:bodyDiv w:val="1"/>
      <w:marLeft w:val="0"/>
      <w:marRight w:val="0"/>
      <w:marTop w:val="0"/>
      <w:marBottom w:val="0"/>
      <w:divBdr>
        <w:top w:val="none" w:sz="0" w:space="0" w:color="auto"/>
        <w:left w:val="none" w:sz="0" w:space="0" w:color="auto"/>
        <w:bottom w:val="none" w:sz="0" w:space="0" w:color="auto"/>
        <w:right w:val="none" w:sz="0" w:space="0" w:color="auto"/>
      </w:divBdr>
    </w:div>
    <w:div w:id="1704011658">
      <w:bodyDiv w:val="1"/>
      <w:marLeft w:val="0"/>
      <w:marRight w:val="0"/>
      <w:marTop w:val="0"/>
      <w:marBottom w:val="0"/>
      <w:divBdr>
        <w:top w:val="none" w:sz="0" w:space="0" w:color="auto"/>
        <w:left w:val="none" w:sz="0" w:space="0" w:color="auto"/>
        <w:bottom w:val="none" w:sz="0" w:space="0" w:color="auto"/>
        <w:right w:val="none" w:sz="0" w:space="0" w:color="auto"/>
      </w:divBdr>
    </w:div>
    <w:div w:id="1768887767">
      <w:bodyDiv w:val="1"/>
      <w:marLeft w:val="0"/>
      <w:marRight w:val="0"/>
      <w:marTop w:val="0"/>
      <w:marBottom w:val="0"/>
      <w:divBdr>
        <w:top w:val="none" w:sz="0" w:space="0" w:color="auto"/>
        <w:left w:val="none" w:sz="0" w:space="0" w:color="auto"/>
        <w:bottom w:val="none" w:sz="0" w:space="0" w:color="auto"/>
        <w:right w:val="none" w:sz="0" w:space="0" w:color="auto"/>
      </w:divBdr>
    </w:div>
    <w:div w:id="1781872283">
      <w:bodyDiv w:val="1"/>
      <w:marLeft w:val="0"/>
      <w:marRight w:val="0"/>
      <w:marTop w:val="0"/>
      <w:marBottom w:val="0"/>
      <w:divBdr>
        <w:top w:val="none" w:sz="0" w:space="0" w:color="auto"/>
        <w:left w:val="none" w:sz="0" w:space="0" w:color="auto"/>
        <w:bottom w:val="none" w:sz="0" w:space="0" w:color="auto"/>
        <w:right w:val="none" w:sz="0" w:space="0" w:color="auto"/>
      </w:divBdr>
    </w:div>
    <w:div w:id="1786732783">
      <w:bodyDiv w:val="1"/>
      <w:marLeft w:val="0"/>
      <w:marRight w:val="0"/>
      <w:marTop w:val="0"/>
      <w:marBottom w:val="0"/>
      <w:divBdr>
        <w:top w:val="none" w:sz="0" w:space="0" w:color="auto"/>
        <w:left w:val="none" w:sz="0" w:space="0" w:color="auto"/>
        <w:bottom w:val="none" w:sz="0" w:space="0" w:color="auto"/>
        <w:right w:val="none" w:sz="0" w:space="0" w:color="auto"/>
      </w:divBdr>
    </w:div>
    <w:div w:id="1801150807">
      <w:bodyDiv w:val="1"/>
      <w:marLeft w:val="0"/>
      <w:marRight w:val="0"/>
      <w:marTop w:val="0"/>
      <w:marBottom w:val="0"/>
      <w:divBdr>
        <w:top w:val="none" w:sz="0" w:space="0" w:color="auto"/>
        <w:left w:val="none" w:sz="0" w:space="0" w:color="auto"/>
        <w:bottom w:val="none" w:sz="0" w:space="0" w:color="auto"/>
        <w:right w:val="none" w:sz="0" w:space="0" w:color="auto"/>
      </w:divBdr>
    </w:div>
    <w:div w:id="1807235696">
      <w:bodyDiv w:val="1"/>
      <w:marLeft w:val="0"/>
      <w:marRight w:val="0"/>
      <w:marTop w:val="0"/>
      <w:marBottom w:val="0"/>
      <w:divBdr>
        <w:top w:val="none" w:sz="0" w:space="0" w:color="auto"/>
        <w:left w:val="none" w:sz="0" w:space="0" w:color="auto"/>
        <w:bottom w:val="none" w:sz="0" w:space="0" w:color="auto"/>
        <w:right w:val="none" w:sz="0" w:space="0" w:color="auto"/>
      </w:divBdr>
    </w:div>
    <w:div w:id="1843087649">
      <w:bodyDiv w:val="1"/>
      <w:marLeft w:val="0"/>
      <w:marRight w:val="0"/>
      <w:marTop w:val="0"/>
      <w:marBottom w:val="0"/>
      <w:divBdr>
        <w:top w:val="none" w:sz="0" w:space="0" w:color="auto"/>
        <w:left w:val="none" w:sz="0" w:space="0" w:color="auto"/>
        <w:bottom w:val="none" w:sz="0" w:space="0" w:color="auto"/>
        <w:right w:val="none" w:sz="0" w:space="0" w:color="auto"/>
      </w:divBdr>
    </w:div>
    <w:div w:id="1877504677">
      <w:bodyDiv w:val="1"/>
      <w:marLeft w:val="0"/>
      <w:marRight w:val="0"/>
      <w:marTop w:val="0"/>
      <w:marBottom w:val="0"/>
      <w:divBdr>
        <w:top w:val="none" w:sz="0" w:space="0" w:color="auto"/>
        <w:left w:val="none" w:sz="0" w:space="0" w:color="auto"/>
        <w:bottom w:val="none" w:sz="0" w:space="0" w:color="auto"/>
        <w:right w:val="none" w:sz="0" w:space="0" w:color="auto"/>
      </w:divBdr>
    </w:div>
    <w:div w:id="1909728692">
      <w:bodyDiv w:val="1"/>
      <w:marLeft w:val="0"/>
      <w:marRight w:val="0"/>
      <w:marTop w:val="0"/>
      <w:marBottom w:val="0"/>
      <w:divBdr>
        <w:top w:val="none" w:sz="0" w:space="0" w:color="auto"/>
        <w:left w:val="none" w:sz="0" w:space="0" w:color="auto"/>
        <w:bottom w:val="none" w:sz="0" w:space="0" w:color="auto"/>
        <w:right w:val="none" w:sz="0" w:space="0" w:color="auto"/>
      </w:divBdr>
    </w:div>
    <w:div w:id="1936670137">
      <w:bodyDiv w:val="1"/>
      <w:marLeft w:val="0"/>
      <w:marRight w:val="0"/>
      <w:marTop w:val="0"/>
      <w:marBottom w:val="0"/>
      <w:divBdr>
        <w:top w:val="none" w:sz="0" w:space="0" w:color="auto"/>
        <w:left w:val="none" w:sz="0" w:space="0" w:color="auto"/>
        <w:bottom w:val="none" w:sz="0" w:space="0" w:color="auto"/>
        <w:right w:val="none" w:sz="0" w:space="0" w:color="auto"/>
      </w:divBdr>
    </w:div>
    <w:div w:id="2021421345">
      <w:bodyDiv w:val="1"/>
      <w:marLeft w:val="0"/>
      <w:marRight w:val="0"/>
      <w:marTop w:val="0"/>
      <w:marBottom w:val="0"/>
      <w:divBdr>
        <w:top w:val="none" w:sz="0" w:space="0" w:color="auto"/>
        <w:left w:val="none" w:sz="0" w:space="0" w:color="auto"/>
        <w:bottom w:val="none" w:sz="0" w:space="0" w:color="auto"/>
        <w:right w:val="none" w:sz="0" w:space="0" w:color="auto"/>
      </w:divBdr>
    </w:div>
    <w:div w:id="2031099985">
      <w:bodyDiv w:val="1"/>
      <w:marLeft w:val="0"/>
      <w:marRight w:val="0"/>
      <w:marTop w:val="0"/>
      <w:marBottom w:val="0"/>
      <w:divBdr>
        <w:top w:val="none" w:sz="0" w:space="0" w:color="auto"/>
        <w:left w:val="none" w:sz="0" w:space="0" w:color="auto"/>
        <w:bottom w:val="none" w:sz="0" w:space="0" w:color="auto"/>
        <w:right w:val="none" w:sz="0" w:space="0" w:color="auto"/>
      </w:divBdr>
    </w:div>
    <w:div w:id="2063206683">
      <w:bodyDiv w:val="1"/>
      <w:marLeft w:val="0"/>
      <w:marRight w:val="0"/>
      <w:marTop w:val="0"/>
      <w:marBottom w:val="0"/>
      <w:divBdr>
        <w:top w:val="none" w:sz="0" w:space="0" w:color="auto"/>
        <w:left w:val="none" w:sz="0" w:space="0" w:color="auto"/>
        <w:bottom w:val="none" w:sz="0" w:space="0" w:color="auto"/>
        <w:right w:val="none" w:sz="0" w:space="0" w:color="auto"/>
      </w:divBdr>
    </w:div>
    <w:div w:id="2099597538">
      <w:bodyDiv w:val="1"/>
      <w:marLeft w:val="0"/>
      <w:marRight w:val="0"/>
      <w:marTop w:val="0"/>
      <w:marBottom w:val="0"/>
      <w:divBdr>
        <w:top w:val="none" w:sz="0" w:space="0" w:color="auto"/>
        <w:left w:val="none" w:sz="0" w:space="0" w:color="auto"/>
        <w:bottom w:val="none" w:sz="0" w:space="0" w:color="auto"/>
        <w:right w:val="none" w:sz="0" w:space="0" w:color="auto"/>
      </w:divBdr>
    </w:div>
    <w:div w:id="2111048451">
      <w:bodyDiv w:val="1"/>
      <w:marLeft w:val="0"/>
      <w:marRight w:val="0"/>
      <w:marTop w:val="0"/>
      <w:marBottom w:val="0"/>
      <w:divBdr>
        <w:top w:val="none" w:sz="0" w:space="0" w:color="auto"/>
        <w:left w:val="none" w:sz="0" w:space="0" w:color="auto"/>
        <w:bottom w:val="none" w:sz="0" w:space="0" w:color="auto"/>
        <w:right w:val="none" w:sz="0" w:space="0" w:color="auto"/>
      </w:divBdr>
    </w:div>
    <w:div w:id="2120101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reativecommons.org/licenses/by-nc-nd/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citations?hl=id&amp;user=_fGg0_wAAAAJ&amp;view_op=list_works&amp;sortby=pubdat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npvURMXowpbFSGmXRBVMFauPyA==">AMUW2mVYrExtYKS2+NbkG9TwZb0SEm9VKRq/J4EH/F1rMHmQo8k4PcsIjzMURMXETJ9Sw3LVFUSacBcXSsSbmK6G21BZoCFM9Yh0CJQC1Yy7tFqsJKRsKOL2TWe1tvTbaggb7XMv70cXheYeY7EGdXTTUs2FM326S7jURveGzkflMCRqwFf7NTYL8/AlOv/Cmf+/rymijI22cYkGaR5G9YNg4OdxHMhtotYZmLGBTLz4O+P69p5gr5YjdQmgxMkAKTB4+YTzd2Uy</go:docsCustomData>
</go:gDocsCustomXmlDataStorage>
</file>

<file path=customXml/itemProps1.xml><?xml version="1.0" encoding="utf-8"?>
<ds:datastoreItem xmlns:ds="http://schemas.openxmlformats.org/officeDocument/2006/customXml" ds:itemID="{F0D737E8-18A7-4BA0-8C54-E6137714EC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6322</Words>
  <Characters>36039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Cy</cp:lastModifiedBy>
  <cp:revision>3</cp:revision>
  <cp:lastPrinted>2025-06-13T02:34:00Z</cp:lastPrinted>
  <dcterms:created xsi:type="dcterms:W3CDTF">2025-06-13T02:34:00Z</dcterms:created>
  <dcterms:modified xsi:type="dcterms:W3CDTF">2025-06-13T02:34:00Z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5a89c0b0-bb34-39fa-8a34-1f6e9260aa1e</vt:lpwstr>
  </property>
  <property fmtid="{D5CDD505-2E9C-101B-9397-08002B2CF9AE}" pid="24" name="Mendeley Citation Style_1">
    <vt:lpwstr>http://www.zotero.org/styles/apa</vt:lpwstr>
  </property>
</Properties>
</file>